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szCs w:val="36"/>
        </w:rPr>
      </w:pPr>
      <w:r>
        <w:rPr>
          <w:rFonts w:hint="eastAsia" w:ascii="宋体" w:hAnsi="宋体"/>
          <w:b/>
          <w:sz w:val="36"/>
          <w:szCs w:val="36"/>
          <w:lang w:eastAsia="zh-CN"/>
        </w:rPr>
        <w:t>淮北职业技术学院.</w:t>
      </w:r>
      <w:r>
        <w:rPr>
          <w:rFonts w:ascii="宋体" w:hAnsi="宋体"/>
          <w:b/>
          <w:sz w:val="36"/>
          <w:szCs w:val="36"/>
        </w:rPr>
        <w:t>20</w:t>
      </w:r>
      <w:r>
        <w:rPr>
          <w:rFonts w:hint="eastAsia" w:ascii="宋体" w:hAnsi="宋体"/>
          <w:b/>
          <w:sz w:val="36"/>
          <w:szCs w:val="36"/>
        </w:rPr>
        <w:t>20</w:t>
      </w:r>
      <w:r>
        <w:rPr>
          <w:rFonts w:ascii="宋体" w:hAnsi="宋体"/>
          <w:b/>
          <w:sz w:val="36"/>
          <w:szCs w:val="36"/>
        </w:rPr>
        <w:t>年</w:t>
      </w:r>
      <w:r>
        <w:rPr>
          <w:rFonts w:hint="eastAsia" w:ascii="宋体" w:hAnsi="宋体"/>
          <w:b/>
          <w:sz w:val="36"/>
          <w:szCs w:val="36"/>
        </w:rPr>
        <w:t>度一般公共预算财政</w:t>
      </w:r>
    </w:p>
    <w:p>
      <w:pPr>
        <w:jc w:val="center"/>
        <w:rPr>
          <w:rFonts w:ascii="楷体_GB2312" w:eastAsia="楷体_GB2312"/>
          <w:szCs w:val="32"/>
        </w:rPr>
      </w:pPr>
      <w:r>
        <w:rPr>
          <w:rFonts w:hint="eastAsia" w:ascii="宋体" w:hAnsi="宋体"/>
          <w:b/>
          <w:sz w:val="36"/>
          <w:szCs w:val="36"/>
        </w:rPr>
        <w:t>拨款</w:t>
      </w:r>
      <w:r>
        <w:rPr>
          <w:rFonts w:ascii="宋体" w:hAnsi="宋体"/>
          <w:b/>
          <w:sz w:val="36"/>
          <w:szCs w:val="36"/>
        </w:rPr>
        <w:t>“三公</w:t>
      </w:r>
      <w:r>
        <w:rPr>
          <w:rFonts w:hint="eastAsia" w:ascii="宋体" w:hAnsi="宋体"/>
          <w:b/>
          <w:sz w:val="36"/>
          <w:szCs w:val="36"/>
        </w:rPr>
        <w:t>”</w:t>
      </w:r>
      <w:r>
        <w:rPr>
          <w:rFonts w:ascii="宋体" w:hAnsi="宋体"/>
          <w:b/>
          <w:sz w:val="36"/>
          <w:szCs w:val="36"/>
        </w:rPr>
        <w:t>经费</w:t>
      </w:r>
      <w:r>
        <w:rPr>
          <w:rFonts w:hint="eastAsia" w:ascii="宋体" w:hAnsi="宋体"/>
          <w:b/>
          <w:sz w:val="36"/>
          <w:szCs w:val="36"/>
        </w:rPr>
        <w:t>支出决算情况说明</w:t>
      </w:r>
    </w:p>
    <w:p>
      <w:pPr>
        <w:jc w:val="center"/>
        <w:rPr>
          <w:rFonts w:ascii="楷体_GB2312" w:eastAsia="楷体_GB2312"/>
          <w:szCs w:val="32"/>
        </w:rPr>
      </w:pPr>
    </w:p>
    <w:p>
      <w:pPr>
        <w:adjustRightInd w:val="0"/>
        <w:snapToGrid w:val="0"/>
        <w:spacing w:line="360" w:lineRule="auto"/>
        <w:jc w:val="center"/>
        <w:rPr>
          <w:rFonts w:ascii="宋体" w:hAnsi="宋体"/>
          <w:sz w:val="6"/>
          <w:szCs w:val="32"/>
        </w:rPr>
      </w:pPr>
    </w:p>
    <w:p>
      <w:pPr>
        <w:rPr>
          <w:rFonts w:ascii="黑体" w:hAnsi="黑体" w:eastAsia="黑体"/>
          <w:szCs w:val="32"/>
        </w:rPr>
      </w:pPr>
      <w:r>
        <w:rPr>
          <w:rFonts w:ascii="黑体" w:hAnsi="黑体" w:eastAsia="黑体"/>
          <w:szCs w:val="32"/>
        </w:rPr>
        <w:t xml:space="preserve">    </w:t>
      </w:r>
      <w:r>
        <w:rPr>
          <w:rFonts w:hint="eastAsia" w:ascii="黑体" w:hAnsi="黑体" w:eastAsia="黑体"/>
          <w:szCs w:val="32"/>
        </w:rPr>
        <w:t>一、2020年度一般公共预算财政拨款“三公”经费支出决算表</w:t>
      </w:r>
    </w:p>
    <w:p>
      <w:pPr>
        <w:ind w:firstLine="6720" w:firstLineChars="2100"/>
        <w:rPr>
          <w:rFonts w:ascii="黑体" w:hAnsi="黑体" w:eastAsia="黑体"/>
          <w:szCs w:val="32"/>
        </w:rPr>
      </w:pPr>
      <w:r>
        <w:rPr>
          <w:rFonts w:hint="eastAsia" w:ascii="仿宋_GB2312" w:hAnsi="仿宋_GB2312" w:cs="仿宋_GB2312"/>
          <w:szCs w:val="32"/>
        </w:rPr>
        <w:t>单位：万元</w:t>
      </w:r>
    </w:p>
    <w:tbl>
      <w:tblPr>
        <w:tblStyle w:val="4"/>
        <w:tblpPr w:leftFromText="180" w:rightFromText="180" w:vertAnchor="text" w:horzAnchor="margin" w:tblpY="454"/>
        <w:tblOverlap w:val="never"/>
        <w:tblW w:w="0" w:type="auto"/>
        <w:tblInd w:w="0" w:type="dxa"/>
        <w:tblLayout w:type="fixed"/>
        <w:tblCellMar>
          <w:top w:w="0" w:type="dxa"/>
          <w:left w:w="108" w:type="dxa"/>
          <w:bottom w:w="0" w:type="dxa"/>
          <w:right w:w="108" w:type="dxa"/>
        </w:tblCellMar>
      </w:tblPr>
      <w:tblGrid>
        <w:gridCol w:w="4379"/>
        <w:gridCol w:w="2157"/>
        <w:gridCol w:w="2220"/>
      </w:tblGrid>
      <w:tr>
        <w:tblPrEx>
          <w:tblCellMar>
            <w:top w:w="0" w:type="dxa"/>
            <w:left w:w="108" w:type="dxa"/>
            <w:bottom w:w="0" w:type="dxa"/>
            <w:right w:w="108" w:type="dxa"/>
          </w:tblCellMar>
        </w:tblPrEx>
        <w:trPr>
          <w:trHeight w:val="397" w:hRule="atLeast"/>
        </w:trPr>
        <w:tc>
          <w:tcPr>
            <w:tcW w:w="43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项  目</w:t>
            </w:r>
          </w:p>
        </w:tc>
        <w:tc>
          <w:tcPr>
            <w:tcW w:w="21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预 算 数</w:t>
            </w:r>
          </w:p>
        </w:tc>
        <w:tc>
          <w:tcPr>
            <w:tcW w:w="22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决 算 数</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合  计</w:t>
            </w:r>
          </w:p>
        </w:tc>
        <w:tc>
          <w:tcPr>
            <w:tcW w:w="2157" w:type="dxa"/>
            <w:tcBorders>
              <w:top w:val="nil"/>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lang w:val="en-US" w:eastAsia="zh-CN"/>
              </w:rPr>
              <w:t>90</w:t>
            </w:r>
          </w:p>
        </w:tc>
        <w:tc>
          <w:tcPr>
            <w:tcW w:w="22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lang w:val="en-US" w:eastAsia="zh-CN"/>
              </w:rPr>
              <w:t>37.27</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因公出国（境）费</w:t>
            </w:r>
          </w:p>
        </w:tc>
        <w:tc>
          <w:tcPr>
            <w:tcW w:w="2157" w:type="dxa"/>
            <w:tcBorders>
              <w:top w:val="nil"/>
              <w:left w:val="nil"/>
              <w:bottom w:val="single" w:color="auto" w:sz="4" w:space="0"/>
              <w:right w:val="single" w:color="auto" w:sz="4" w:space="0"/>
            </w:tcBorders>
            <w:vAlign w:val="bottom"/>
          </w:tcPr>
          <w:p>
            <w:pPr>
              <w:widowControl/>
              <w:jc w:val="center"/>
              <w:rPr>
                <w:rFonts w:ascii="宋体" w:hAnsi="宋体" w:cs="宋体"/>
                <w:kern w:val="0"/>
                <w:szCs w:val="21"/>
              </w:rPr>
            </w:pPr>
          </w:p>
        </w:tc>
        <w:tc>
          <w:tcPr>
            <w:tcW w:w="2220" w:type="dxa"/>
            <w:tcBorders>
              <w:top w:val="nil"/>
              <w:left w:val="nil"/>
              <w:bottom w:val="single" w:color="auto" w:sz="4" w:space="0"/>
              <w:right w:val="single" w:color="auto" w:sz="4" w:space="0"/>
            </w:tcBorders>
            <w:vAlign w:val="bottom"/>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公务接待费</w:t>
            </w:r>
          </w:p>
        </w:tc>
        <w:tc>
          <w:tcPr>
            <w:tcW w:w="2157" w:type="dxa"/>
            <w:tcBorders>
              <w:top w:val="nil"/>
              <w:left w:val="nil"/>
              <w:bottom w:val="single" w:color="auto" w:sz="4" w:space="0"/>
              <w:right w:val="single" w:color="auto" w:sz="4" w:space="0"/>
            </w:tcBorders>
            <w:vAlign w:val="bottom"/>
          </w:tcPr>
          <w:p>
            <w:pPr>
              <w:widowControl/>
              <w:jc w:val="center"/>
              <w:rPr>
                <w:rFonts w:hint="default" w:ascii="宋体" w:hAnsi="宋体" w:eastAsia="仿宋_GB2312" w:cs="宋体"/>
                <w:kern w:val="0"/>
                <w:szCs w:val="21"/>
                <w:lang w:val="en-US" w:eastAsia="zh-CN"/>
              </w:rPr>
            </w:pPr>
            <w:r>
              <w:rPr>
                <w:rFonts w:hint="eastAsia" w:ascii="宋体" w:hAnsi="宋体" w:cs="宋体"/>
                <w:kern w:val="0"/>
                <w:szCs w:val="21"/>
                <w:lang w:val="en-US" w:eastAsia="zh-CN"/>
              </w:rPr>
              <w:t>30</w:t>
            </w:r>
          </w:p>
        </w:tc>
        <w:tc>
          <w:tcPr>
            <w:tcW w:w="2220" w:type="dxa"/>
            <w:tcBorders>
              <w:top w:val="nil"/>
              <w:left w:val="nil"/>
              <w:bottom w:val="single" w:color="auto" w:sz="4" w:space="0"/>
              <w:right w:val="single" w:color="auto" w:sz="4" w:space="0"/>
            </w:tcBorders>
            <w:vAlign w:val="bottom"/>
          </w:tcPr>
          <w:p>
            <w:pPr>
              <w:widowControl/>
              <w:jc w:val="center"/>
              <w:rPr>
                <w:rFonts w:ascii="宋体" w:hAnsi="宋体" w:cs="宋体"/>
                <w:kern w:val="0"/>
                <w:szCs w:val="21"/>
              </w:rPr>
            </w:pPr>
            <w:r>
              <w:rPr>
                <w:rFonts w:hint="eastAsia" w:ascii="宋体" w:hAnsi="宋体" w:cs="宋体"/>
                <w:kern w:val="0"/>
                <w:szCs w:val="21"/>
              </w:rPr>
              <w:t>13.64</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公务用车购置及运行维护费</w:t>
            </w:r>
          </w:p>
        </w:tc>
        <w:tc>
          <w:tcPr>
            <w:tcW w:w="2157" w:type="dxa"/>
            <w:tcBorders>
              <w:top w:val="nil"/>
              <w:left w:val="nil"/>
              <w:bottom w:val="single" w:color="auto" w:sz="4" w:space="0"/>
              <w:right w:val="single" w:color="auto" w:sz="4" w:space="0"/>
            </w:tcBorders>
            <w:vAlign w:val="bottom"/>
          </w:tcPr>
          <w:p>
            <w:pPr>
              <w:widowControl/>
              <w:jc w:val="center"/>
              <w:rPr>
                <w:rFonts w:hint="default" w:ascii="宋体" w:hAnsi="宋体" w:eastAsia="仿宋_GB2312" w:cs="宋体"/>
                <w:kern w:val="0"/>
                <w:szCs w:val="21"/>
                <w:lang w:val="en-US" w:eastAsia="zh-CN"/>
              </w:rPr>
            </w:pPr>
            <w:r>
              <w:rPr>
                <w:rFonts w:hint="eastAsia" w:ascii="宋体" w:hAnsi="宋体" w:cs="宋体"/>
                <w:kern w:val="0"/>
                <w:szCs w:val="21"/>
                <w:lang w:val="en-US" w:eastAsia="zh-CN"/>
              </w:rPr>
              <w:t>60</w:t>
            </w:r>
          </w:p>
        </w:tc>
        <w:tc>
          <w:tcPr>
            <w:tcW w:w="2220" w:type="dxa"/>
            <w:tcBorders>
              <w:top w:val="nil"/>
              <w:left w:val="nil"/>
              <w:bottom w:val="single" w:color="auto" w:sz="4" w:space="0"/>
              <w:right w:val="single" w:color="auto" w:sz="4" w:space="0"/>
            </w:tcBorders>
            <w:vAlign w:val="bottom"/>
          </w:tcPr>
          <w:p>
            <w:pPr>
              <w:widowControl/>
              <w:jc w:val="center"/>
              <w:rPr>
                <w:rFonts w:ascii="宋体" w:hAnsi="宋体" w:cs="宋体"/>
                <w:kern w:val="0"/>
                <w:szCs w:val="21"/>
              </w:rPr>
            </w:pPr>
            <w:r>
              <w:rPr>
                <w:rFonts w:hint="eastAsia" w:ascii="宋体" w:hAnsi="宋体" w:cs="宋体"/>
                <w:kern w:val="0"/>
                <w:szCs w:val="21"/>
              </w:rPr>
              <w:t>23.63</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其中：公务用车运行维护费</w:t>
            </w:r>
          </w:p>
        </w:tc>
        <w:tc>
          <w:tcPr>
            <w:tcW w:w="2157" w:type="dxa"/>
            <w:tcBorders>
              <w:top w:val="nil"/>
              <w:left w:val="nil"/>
              <w:bottom w:val="single" w:color="auto" w:sz="4" w:space="0"/>
              <w:right w:val="single" w:color="auto" w:sz="4" w:space="0"/>
            </w:tcBorders>
            <w:vAlign w:val="bottom"/>
          </w:tcPr>
          <w:p>
            <w:pPr>
              <w:widowControl/>
              <w:jc w:val="center"/>
              <w:rPr>
                <w:rFonts w:hint="default" w:ascii="宋体" w:hAnsi="宋体" w:eastAsia="仿宋_GB2312" w:cs="宋体"/>
                <w:kern w:val="0"/>
                <w:szCs w:val="21"/>
                <w:lang w:val="en-US" w:eastAsia="zh-CN"/>
              </w:rPr>
            </w:pPr>
            <w:r>
              <w:rPr>
                <w:rFonts w:hint="eastAsia" w:ascii="宋体" w:hAnsi="宋体" w:cs="宋体"/>
                <w:kern w:val="0"/>
                <w:szCs w:val="21"/>
                <w:lang w:val="en-US" w:eastAsia="zh-CN"/>
              </w:rPr>
              <w:t>60</w:t>
            </w:r>
          </w:p>
        </w:tc>
        <w:tc>
          <w:tcPr>
            <w:tcW w:w="2220" w:type="dxa"/>
            <w:tcBorders>
              <w:top w:val="nil"/>
              <w:left w:val="nil"/>
              <w:bottom w:val="single" w:color="auto" w:sz="4" w:space="0"/>
              <w:right w:val="single" w:color="auto" w:sz="4" w:space="0"/>
            </w:tcBorders>
            <w:vAlign w:val="bottom"/>
          </w:tcPr>
          <w:p>
            <w:pPr>
              <w:widowControl/>
              <w:jc w:val="center"/>
              <w:rPr>
                <w:rFonts w:ascii="宋体" w:hAnsi="宋体" w:cs="宋体"/>
                <w:kern w:val="0"/>
                <w:szCs w:val="21"/>
              </w:rPr>
            </w:pPr>
            <w:r>
              <w:rPr>
                <w:rFonts w:hint="eastAsia" w:ascii="宋体" w:hAnsi="宋体" w:cs="宋体"/>
                <w:kern w:val="0"/>
                <w:szCs w:val="21"/>
              </w:rPr>
              <w:t>23.63</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公务用车购置费 </w:t>
            </w:r>
          </w:p>
        </w:tc>
        <w:tc>
          <w:tcPr>
            <w:tcW w:w="2157"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w:t>
            </w:r>
          </w:p>
        </w:tc>
        <w:tc>
          <w:tcPr>
            <w:tcW w:w="2220"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w:t>
            </w:r>
          </w:p>
        </w:tc>
      </w:tr>
    </w:tbl>
    <w:p>
      <w:pPr>
        <w:ind w:firstLine="640" w:firstLineChars="200"/>
        <w:rPr>
          <w:rFonts w:ascii="黑体" w:hAnsi="黑体" w:eastAsia="黑体"/>
          <w:szCs w:val="32"/>
        </w:rPr>
      </w:pPr>
      <w:r>
        <w:rPr>
          <w:rFonts w:hint="eastAsia" w:ascii="黑体" w:hAnsi="黑体" w:eastAsia="黑体"/>
          <w:szCs w:val="32"/>
        </w:rPr>
        <w:t xml:space="preserve">                                      </w:t>
      </w:r>
    </w:p>
    <w:p>
      <w:pPr>
        <w:rPr>
          <w:rFonts w:ascii="黑体" w:hAnsi="黑体" w:eastAsia="黑体"/>
          <w:szCs w:val="32"/>
        </w:rPr>
      </w:pPr>
      <w:r>
        <w:rPr>
          <w:rFonts w:ascii="黑体" w:hAnsi="黑体" w:eastAsia="黑体"/>
          <w:szCs w:val="32"/>
        </w:rPr>
        <w:t xml:space="preserve">    </w:t>
      </w:r>
      <w:r>
        <w:rPr>
          <w:rFonts w:hint="eastAsia" w:ascii="黑体" w:hAnsi="黑体" w:eastAsia="黑体"/>
          <w:szCs w:val="32"/>
        </w:rPr>
        <w:t>二</w:t>
      </w:r>
      <w:r>
        <w:rPr>
          <w:rFonts w:ascii="黑体" w:hAnsi="黑体" w:eastAsia="黑体"/>
          <w:szCs w:val="32"/>
        </w:rPr>
        <w:t>、20</w:t>
      </w:r>
      <w:r>
        <w:rPr>
          <w:rFonts w:hint="eastAsia" w:ascii="黑体" w:hAnsi="黑体" w:eastAsia="黑体"/>
          <w:szCs w:val="32"/>
        </w:rPr>
        <w:t>20</w:t>
      </w:r>
      <w:r>
        <w:rPr>
          <w:rFonts w:ascii="黑体" w:hAnsi="黑体" w:eastAsia="黑体"/>
          <w:szCs w:val="32"/>
        </w:rPr>
        <w:t>年</w:t>
      </w:r>
      <w:r>
        <w:rPr>
          <w:rFonts w:hint="eastAsia" w:ascii="黑体" w:hAnsi="黑体" w:eastAsia="黑体"/>
          <w:szCs w:val="32"/>
        </w:rPr>
        <w:t>度一般公共预算财政拨款“三公”经费支出</w:t>
      </w:r>
      <w:r>
        <w:rPr>
          <w:rFonts w:ascii="黑体" w:hAnsi="黑体" w:eastAsia="黑体"/>
          <w:szCs w:val="32"/>
        </w:rPr>
        <w:t>情况说明</w:t>
      </w:r>
    </w:p>
    <w:p>
      <w:pPr>
        <w:ind w:firstLine="643" w:firstLineChars="200"/>
        <w:rPr>
          <w:rFonts w:ascii="仿宋_GB2312" w:hAnsi="仿宋"/>
          <w:b/>
          <w:szCs w:val="32"/>
        </w:rPr>
      </w:pPr>
      <w:r>
        <w:rPr>
          <w:rFonts w:hint="eastAsia" w:ascii="仿宋_GB2312" w:hAnsi="仿宋"/>
          <w:b/>
          <w:szCs w:val="32"/>
        </w:rPr>
        <w:t>（一）一般公共预算财政拨款“三公”经费支出决算总体情况说明。</w:t>
      </w:r>
    </w:p>
    <w:p>
      <w:pPr>
        <w:ind w:firstLine="640" w:firstLineChars="200"/>
        <w:rPr>
          <w:rFonts w:hint="eastAsia" w:ascii="宋体" w:hAnsi="宋体"/>
          <w:sz w:val="32"/>
          <w:szCs w:val="32"/>
        </w:rPr>
      </w:pPr>
      <w:r>
        <w:rPr>
          <w:rFonts w:hint="eastAsia" w:ascii="宋体" w:hAnsi="宋体"/>
          <w:sz w:val="32"/>
          <w:szCs w:val="32"/>
        </w:rPr>
        <w:t>淮北职业技术学院2020年度一般公共预算财政拨款“三公”经费支出决算中，因公出国（境）费支出决算0万元，;公务接待费支出决算13.64万元，占36.6%；公务用车购置及运行费支出决算26.63万元，占63.4%。</w:t>
      </w:r>
    </w:p>
    <w:p>
      <w:pPr>
        <w:ind w:firstLine="643" w:firstLineChars="200"/>
        <w:rPr>
          <w:rFonts w:ascii="宋体" w:hAnsi="宋体"/>
          <w:sz w:val="32"/>
          <w:szCs w:val="32"/>
        </w:rPr>
      </w:pPr>
      <w:r>
        <w:rPr>
          <w:rFonts w:hint="eastAsia" w:ascii="仿宋_GB2312" w:hAnsi="仿宋"/>
          <w:b/>
          <w:bCs/>
          <w:szCs w:val="32"/>
        </w:rPr>
        <w:t>（二）</w:t>
      </w:r>
      <w:r>
        <w:rPr>
          <w:rFonts w:hint="eastAsia" w:ascii="仿宋_GB2312" w:hAnsi="仿宋"/>
          <w:b/>
          <w:szCs w:val="32"/>
        </w:rPr>
        <w:t>一般公共预算财政拨款“三公”经费支出决算具体情况说明。</w:t>
      </w:r>
      <w:bookmarkStart w:id="0" w:name="_GoBack"/>
      <w:bookmarkEnd w:id="0"/>
    </w:p>
    <w:p>
      <w:pPr>
        <w:ind w:firstLine="628"/>
        <w:rPr>
          <w:rFonts w:ascii="宋体" w:hAnsi="宋体"/>
          <w:sz w:val="32"/>
          <w:szCs w:val="32"/>
        </w:rPr>
      </w:pPr>
      <w:r>
        <w:rPr>
          <w:rFonts w:hint="eastAsia" w:ascii="宋体" w:hAnsi="宋体"/>
          <w:sz w:val="32"/>
          <w:szCs w:val="32"/>
        </w:rPr>
        <w:t>1、公务接待费支出13.64万元, 与2019年度决算相比，减少6.79万元，下降66%。下降的原因是疫情原因正常</w:t>
      </w:r>
      <w:r>
        <w:rPr>
          <w:rFonts w:ascii="宋体" w:hAnsi="宋体"/>
          <w:sz w:val="32"/>
          <w:szCs w:val="32"/>
        </w:rPr>
        <w:t>接待支出减少</w:t>
      </w:r>
      <w:r>
        <w:rPr>
          <w:rFonts w:hint="eastAsia" w:ascii="宋体" w:hAnsi="宋体"/>
          <w:sz w:val="32"/>
          <w:szCs w:val="32"/>
        </w:rPr>
        <w:t>。2019年淮北职业技术学院国内接待共59批次（其中外事接待0批次），1019人次（其中外事接待0人次）。主要用于各种</w:t>
      </w:r>
      <w:r>
        <w:rPr>
          <w:rFonts w:ascii="宋体" w:hAnsi="宋体"/>
          <w:sz w:val="32"/>
          <w:szCs w:val="32"/>
        </w:rPr>
        <w:t>来宾接待支出</w:t>
      </w:r>
      <w:r>
        <w:rPr>
          <w:rFonts w:hint="eastAsia" w:ascii="宋体" w:hAnsi="宋体"/>
          <w:sz w:val="32"/>
          <w:szCs w:val="32"/>
        </w:rPr>
        <w:t>及工作餐支出。经费使用贯彻党中央“八项规定”和省委省政府30条要求，严格执行《党政机关厉行节约反对浪费条例》、淮北市公务接待相关规定。</w:t>
      </w:r>
    </w:p>
    <w:p>
      <w:pPr>
        <w:snapToGrid w:val="0"/>
        <w:spacing w:line="520" w:lineRule="exact"/>
        <w:ind w:firstLine="640" w:firstLineChars="200"/>
        <w:rPr>
          <w:rFonts w:hint="eastAsia" w:ascii="宋体" w:hAnsi="宋体"/>
          <w:sz w:val="32"/>
          <w:szCs w:val="32"/>
        </w:rPr>
      </w:pPr>
      <w:r>
        <w:rPr>
          <w:rFonts w:hint="eastAsia" w:ascii="宋体" w:hAnsi="宋体"/>
          <w:sz w:val="32"/>
          <w:szCs w:val="32"/>
          <w:lang w:val="en-US" w:eastAsia="zh-CN"/>
        </w:rPr>
        <w:t>2、</w:t>
      </w:r>
      <w:r>
        <w:rPr>
          <w:rFonts w:hint="eastAsia" w:ascii="宋体" w:hAnsi="宋体"/>
          <w:sz w:val="32"/>
          <w:szCs w:val="32"/>
        </w:rPr>
        <w:t>公务用车购置及运行费支出23.64万元，与2019年度决算相比，减少15.51万元，下降39.6%。下降的原因是压减支出。2020年没有安排公务用车购置费，全部为公务用车运行维护费，包括车辆燃料费、维修费、过路过桥费、保险费等支出，用于日常公务、财政监督检查、政策调研等。2020年底，淮北职业技术学院机关及所属单位开支财政拨款的公务用车保有量为14辆。</w:t>
      </w:r>
    </w:p>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BC"/>
    <w:rsid w:val="002F6DE8"/>
    <w:rsid w:val="00326726"/>
    <w:rsid w:val="003547B8"/>
    <w:rsid w:val="003671B4"/>
    <w:rsid w:val="003B6E2C"/>
    <w:rsid w:val="00497C22"/>
    <w:rsid w:val="004D6484"/>
    <w:rsid w:val="00613D73"/>
    <w:rsid w:val="00656EC6"/>
    <w:rsid w:val="006B3BF0"/>
    <w:rsid w:val="007719A9"/>
    <w:rsid w:val="008A3C6F"/>
    <w:rsid w:val="009770F9"/>
    <w:rsid w:val="009D2B9A"/>
    <w:rsid w:val="00A00C09"/>
    <w:rsid w:val="00A92496"/>
    <w:rsid w:val="00AB0278"/>
    <w:rsid w:val="00B14CD1"/>
    <w:rsid w:val="00B2159B"/>
    <w:rsid w:val="00B72524"/>
    <w:rsid w:val="00CE25D9"/>
    <w:rsid w:val="00D2629D"/>
    <w:rsid w:val="00D303BC"/>
    <w:rsid w:val="00D9784E"/>
    <w:rsid w:val="00DB321D"/>
    <w:rsid w:val="00E02B6D"/>
    <w:rsid w:val="00FC29F2"/>
    <w:rsid w:val="0190456B"/>
    <w:rsid w:val="1F2A5F9B"/>
    <w:rsid w:val="75003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178</Words>
  <Characters>1015</Characters>
  <Lines>8</Lines>
  <Paragraphs>2</Paragraphs>
  <TotalTime>0</TotalTime>
  <ScaleCrop>false</ScaleCrop>
  <LinksUpToDate>false</LinksUpToDate>
  <CharactersWithSpaces>1191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2021-07-16T00:55:00Z</dcterms:created>
  <dc:creator>丁配泉</dc:creator>
  <cp:lastModifiedBy>Administrator</cp:lastModifiedBy>
  <cp:lastPrinted>2020-09-14T08:17:00Z</cp:lastPrinted>
  <dcterms:modified xsi:type="dcterms:W3CDTF">2021-07-21T08:42:25Z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