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淮北市淮北职业技术学院2023年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部门预算</w:t>
      </w:r>
    </w:p>
    <w:p/>
    <w:p/>
    <w:p/>
    <w:p/>
    <w:p/>
    <w:p/>
    <w:p/>
    <w:p/>
    <w:p/>
    <w:p/>
    <w:p/>
    <w:p/>
    <w:p/>
    <w:p/>
    <w:p/>
    <w:p/>
    <w:p/>
    <w:p/>
    <w:p/>
    <w:p/>
    <w:p/>
    <w:p/>
    <w:p/>
    <w:p>
      <w:pPr>
        <w:pStyle w:val="3"/>
        <w:adjustRightInd w:val="0"/>
        <w:snapToGrid w:val="0"/>
        <w:spacing w:line="560" w:lineRule="exact"/>
        <w:jc w:val="center"/>
        <w:rPr>
          <w:rFonts w:ascii="TimesNewRoman" w:hAnsi="TimesNewRoman" w:eastAsia="黑体" w:cs="TimesNewRoman"/>
          <w:bCs/>
          <w:sz w:val="44"/>
          <w:szCs w:val="44"/>
        </w:rPr>
      </w:pPr>
    </w:p>
    <w:p>
      <w:pPr>
        <w:pStyle w:val="3"/>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ascii="TimesNewRoman" w:hAnsi="TimesNewRoman" w:eastAsia="黑体" w:cs="TimesNewRoman"/>
          <w:bCs/>
          <w:sz w:val="44"/>
          <w:szCs w:val="44"/>
        </w:rPr>
        <w:t>2</w:t>
      </w:r>
      <w:r>
        <w:rPr>
          <w:rFonts w:hint="eastAsia" w:ascii="TimesNewRoman" w:hAnsi="TimesNewRoman" w:eastAsia="黑体" w:cs="TimesNewRoman"/>
          <w:bCs/>
          <w:sz w:val="44"/>
          <w:szCs w:val="44"/>
        </w:rPr>
        <w:t>月</w:t>
      </w:r>
    </w:p>
    <w:p/>
    <w:p/>
    <w:p>
      <w:pPr>
        <w:pStyle w:val="3"/>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3"/>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部门概况</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2、部门预算构成</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3"/>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2023年部门预算表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bookmarkStart w:id="0" w:name="_Hlk126606028"/>
      <w:r>
        <w:rPr>
          <w:rFonts w:hint="eastAsia" w:ascii="TimesNewRoman" w:hAnsi="TimesNewRoman" w:eastAsia="仿宋_GB2312" w:cs="TimesNewRoman"/>
          <w:bCs/>
          <w:sz w:val="32"/>
          <w:szCs w:val="32"/>
        </w:rPr>
        <w:t>淮北职业技术学院</w:t>
      </w:r>
      <w:bookmarkEnd w:id="0"/>
      <w:r>
        <w:rPr>
          <w:rFonts w:hint="eastAsia" w:ascii="TimesNewRoman" w:hAnsi="TimesNewRoman" w:eastAsia="仿宋_GB2312" w:cs="TimesNewRoman"/>
          <w:bCs/>
          <w:sz w:val="32"/>
          <w:szCs w:val="32"/>
        </w:rPr>
        <w:t>2023年收支总表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2、淮北市淮北职业技术学院2023年收入总表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3、淮北市淮北职业技术学院2023年支出总表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4、淮北市淮北职业技术学院2023年财政拨款收支总表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5、淮北市淮北职业技术学院2023年一般公共预算支出表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6、淮北市淮北职业技术学院2023年一般公共预算基本支出表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7、淮北市淮北职业技术学院2023年政府性基金预算支出表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8、淮北市淮北职业技术学院2023年国有资本经营预算支出表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9、淮北市淮北职业技术学院2023年项目支出表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10、淮北市淮北职业技术学院2023年政府采购支出表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11、淮北市淮北职业技术学院2023年政府购买服务支出表</w:t>
      </w:r>
    </w:p>
    <w:p>
      <w:pPr>
        <w:pStyle w:val="3"/>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2023年部门预算情况说明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1、关于2023年收支总表的说明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2、关于2023年收入总表的说明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3、关于2023年支出总表的说明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4、关于2023年财政拨款收支总表的说明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5、关于2023年一般公共预算支出表的说明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6、关于2023年一般公共预算基本支出表的说明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7、关于2023年政府性基金预算支出表的说明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8、关于2023年国有资本经营预算支出表的说明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9、关于2023年项目支出表的说明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10、关于2023年政府采购支出表的说明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11、关于2023年政府购买服务支出表的说明</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3"/>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3"/>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bookmarkStart w:id="1" w:name="_Hlk126606144"/>
      <w:r>
        <w:rPr>
          <w:rFonts w:hint="eastAsia" w:ascii="TimesNewRoman" w:hAnsi="TimesNewRoman" w:eastAsia="仿宋_GB2312" w:cs="TimesNewRoman"/>
          <w:bCs/>
          <w:sz w:val="32"/>
          <w:szCs w:val="32"/>
        </w:rPr>
        <w:t>淮北职业技术学院</w:t>
      </w:r>
      <w:bookmarkEnd w:id="1"/>
      <w:r>
        <w:rPr>
          <w:rFonts w:hint="eastAsia" w:ascii="TimesNewRoman" w:hAnsi="TimesNewRoman" w:eastAsia="仿宋_GB2312" w:cs="TimesNewRoman"/>
          <w:bCs/>
          <w:sz w:val="32"/>
          <w:szCs w:val="32"/>
        </w:rPr>
        <w:t>2023年部门预算纳入绩效考评项目表</w:t>
      </w:r>
    </w:p>
    <w:p>
      <w:pPr>
        <w:pStyle w:val="3"/>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2、淮北市淮北职业技术学院2023年部门预算专项资金管理清单（专栏公开）</w:t>
      </w:r>
    </w:p>
    <w:p>
      <w:pPr>
        <w:pStyle w:val="3"/>
        <w:adjustRightInd w:val="0"/>
        <w:snapToGrid w:val="0"/>
        <w:spacing w:line="400" w:lineRule="exact"/>
        <w:ind w:firstLine="800" w:firstLineChars="250"/>
        <w:rPr>
          <w:rFonts w:ascii="TimesNewRoman" w:hAnsi="TimesNewRoman" w:eastAsia="仿宋_GB2312" w:cs="TimesNewRoman"/>
          <w:bCs/>
          <w:sz w:val="32"/>
          <w:szCs w:val="32"/>
        </w:rPr>
      </w:pPr>
    </w:p>
    <w:p>
      <w:pPr>
        <w:pStyle w:val="3"/>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部门概况</w:t>
      </w:r>
    </w:p>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pStyle w:val="3"/>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仿宋_GB2312" w:eastAsia="仿宋_GB2312"/>
          <w:sz w:val="32"/>
          <w:szCs w:val="32"/>
        </w:rPr>
        <w:t>以举办高等职业教育为主，同时开展成人高等教育、现代远程高等教育和岗位培训。</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pStyle w:val="3"/>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从预算单位构成看，</w:t>
      </w:r>
      <w:r>
        <w:rPr>
          <w:rFonts w:hint="eastAsia" w:ascii="TimesNewRoman" w:hAnsi="TimesNewRoman" w:eastAsia="仿宋_GB2312" w:cs="TimesNewRoman"/>
          <w:bCs/>
          <w:sz w:val="32"/>
          <w:szCs w:val="32"/>
        </w:rPr>
        <w:t>淮北职业技术学院</w:t>
      </w:r>
      <w:r>
        <w:rPr>
          <w:rFonts w:hint="eastAsia" w:ascii="TimesNewRoman" w:hAnsi="TimesNewRoman" w:eastAsia="仿宋_GB2312" w:cs="TimesNewRoman"/>
          <w:sz w:val="32"/>
          <w:szCs w:val="32"/>
        </w:rPr>
        <w:t>2023年度部门预算仅包括本级预算，无其他下属单位预算。</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三、2023年度主要工作任务</w:t>
      </w:r>
    </w:p>
    <w:p>
      <w:pPr>
        <w:pStyle w:val="3"/>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TimesNewRoman" w:hAnsi="TimesNewRoman" w:eastAsia="仿宋_GB2312" w:cs="TimesNewRoman"/>
          <w:bCs/>
          <w:sz w:val="32"/>
          <w:szCs w:val="32"/>
        </w:rPr>
        <w:t>（一）</w:t>
      </w:r>
      <w:r>
        <w:rPr>
          <w:rFonts w:hint="eastAsia" w:ascii="仿宋_GB2312" w:eastAsia="仿宋_GB2312"/>
          <w:sz w:val="32"/>
          <w:szCs w:val="32"/>
        </w:rPr>
        <w:t>全面学习宣传贯彻党的二十大精神，推动大会精神落地见效</w:t>
      </w:r>
      <w:r>
        <w:rPr>
          <w:rFonts w:hint="eastAsia" w:ascii="TimesNewRoman" w:hAnsi="TimesNewRoman" w:eastAsia="仿宋_GB2312" w:cs="TimesNewRoman"/>
          <w:bCs/>
          <w:sz w:val="32"/>
          <w:szCs w:val="32"/>
        </w:rPr>
        <w:t>。</w:t>
      </w:r>
    </w:p>
    <w:p>
      <w:pPr>
        <w:ind w:firstLine="640" w:firstLineChars="200"/>
        <w:rPr>
          <w:rFonts w:ascii="仿宋_GB2312" w:eastAsia="仿宋_GB2312"/>
          <w:sz w:val="32"/>
          <w:szCs w:val="32"/>
        </w:rPr>
      </w:pPr>
      <w:r>
        <w:rPr>
          <w:rFonts w:hint="eastAsia" w:ascii="TimesNewRoman" w:hAnsi="TimesNewRoman" w:eastAsia="仿宋_GB2312" w:cs="TimesNewRoman"/>
          <w:bCs/>
          <w:sz w:val="32"/>
          <w:szCs w:val="32"/>
        </w:rPr>
        <w:t>（二）</w:t>
      </w:r>
      <w:r>
        <w:rPr>
          <w:rFonts w:hint="eastAsia" w:ascii="仿宋_GB2312" w:eastAsia="仿宋_GB2312"/>
          <w:sz w:val="32"/>
          <w:szCs w:val="32"/>
        </w:rPr>
        <w:t>落实立德树人根本任务，培养担当民族复兴大任时代新人。</w:t>
      </w:r>
    </w:p>
    <w:p>
      <w:pPr>
        <w:pStyle w:val="3"/>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TimesNewRoman" w:hAnsi="TimesNewRoman" w:eastAsia="仿宋_GB2312" w:cs="TimesNewRoman"/>
          <w:bCs/>
          <w:sz w:val="32"/>
          <w:szCs w:val="32"/>
        </w:rPr>
        <w:t>（三）</w:t>
      </w:r>
      <w:r>
        <w:rPr>
          <w:rFonts w:hint="eastAsia" w:ascii="仿宋_GB2312" w:eastAsia="仿宋_GB2312"/>
          <w:sz w:val="32"/>
          <w:szCs w:val="32"/>
        </w:rPr>
        <w:t>聚焦提质培优行动，推动学院高质量发展。</w:t>
      </w:r>
    </w:p>
    <w:p>
      <w:pPr>
        <w:pStyle w:val="3"/>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TimesNewRoman" w:hAnsi="TimesNewRoman" w:eastAsia="仿宋_GB2312" w:cs="TimesNewRoman"/>
          <w:bCs/>
          <w:sz w:val="32"/>
          <w:szCs w:val="32"/>
        </w:rPr>
        <w:t>（四）</w:t>
      </w:r>
      <w:r>
        <w:rPr>
          <w:rFonts w:hint="eastAsia" w:ascii="仿宋_GB2312" w:eastAsia="仿宋_GB2312"/>
          <w:sz w:val="32"/>
          <w:szCs w:val="32"/>
        </w:rPr>
        <w:t>深化产教融合，更好服务“五个淮北”。</w:t>
      </w:r>
    </w:p>
    <w:p>
      <w:pPr>
        <w:pStyle w:val="3"/>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TimesNewRoman" w:hAnsi="TimesNewRoman" w:eastAsia="仿宋_GB2312" w:cs="TimesNewRoman"/>
          <w:bCs/>
          <w:sz w:val="32"/>
          <w:szCs w:val="32"/>
        </w:rPr>
        <w:t>（五）</w:t>
      </w:r>
      <w:r>
        <w:rPr>
          <w:rFonts w:hint="eastAsia" w:ascii="仿宋_GB2312" w:eastAsia="仿宋_GB2312"/>
          <w:sz w:val="32"/>
          <w:szCs w:val="32"/>
        </w:rPr>
        <w:t>夯实基层基础，打造智慧校园、文明校园。</w:t>
      </w:r>
    </w:p>
    <w:p>
      <w:pPr>
        <w:pStyle w:val="3"/>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 2023年部门预算表</w:t>
      </w:r>
    </w:p>
    <w:p>
      <w:pPr>
        <w:pStyle w:val="3"/>
        <w:adjustRightInd w:val="0"/>
        <w:snapToGrid w:val="0"/>
        <w:spacing w:line="560" w:lineRule="exact"/>
        <w:ind w:firstLine="627" w:firstLineChars="196"/>
        <w:jc w:val="center"/>
        <w:rPr>
          <w:rFonts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3"/>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 2023年部门预算情况说明</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一、关于2023年收支总表的说明</w:t>
      </w:r>
    </w:p>
    <w:p>
      <w:pPr>
        <w:pStyle w:val="3"/>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w:t>
      </w:r>
      <w:bookmarkStart w:id="2" w:name="_Hlk126607066"/>
      <w:r>
        <w:rPr>
          <w:rFonts w:hint="eastAsia" w:ascii="TimesNewRoman" w:hAnsi="TimesNewRoman" w:eastAsia="仿宋_GB2312" w:cs="TimesNewRoman"/>
          <w:sz w:val="32"/>
          <w:szCs w:val="32"/>
        </w:rPr>
        <w:t>淮北职业技术学院</w:t>
      </w:r>
      <w:bookmarkEnd w:id="2"/>
      <w:r>
        <w:rPr>
          <w:rFonts w:hint="eastAsia" w:ascii="TimesNewRoman" w:hAnsi="TimesNewRoman" w:eastAsia="仿宋_GB2312" w:cs="TimesNewRoman"/>
          <w:sz w:val="32"/>
          <w:szCs w:val="32"/>
        </w:rPr>
        <w:t>所有收入和支出均纳入部门预算管理。淮北职业技术学院2023年收支总预算</w:t>
      </w:r>
      <w:r>
        <w:rPr>
          <w:rFonts w:ascii="TimesNewRoman" w:hAnsi="TimesNewRoman" w:eastAsia="仿宋_GB2312" w:cs="TimesNewRoman"/>
          <w:sz w:val="32"/>
          <w:szCs w:val="32"/>
        </w:rPr>
        <w:t>25723.65</w:t>
      </w:r>
      <w:r>
        <w:rPr>
          <w:rFonts w:hint="eastAsia" w:ascii="TimesNewRoman" w:hAnsi="TimesNewRoman" w:eastAsia="仿宋_GB2312" w:cs="TimesNewRoman"/>
          <w:sz w:val="32"/>
          <w:szCs w:val="32"/>
        </w:rPr>
        <w:t>万元，收入包括一般公共预算拨款收入、财政专户管理资金收入，支出包括：教育支出、社会保障和就业支出、卫生健康支出、住房保障支出。</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二、关于2023年收入总表的说明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2023年收入预算</w:t>
      </w:r>
      <w:bookmarkStart w:id="3" w:name="_Hlk126607826"/>
      <w:r>
        <w:rPr>
          <w:rFonts w:ascii="TimesNewRoman" w:hAnsi="TimesNewRoman" w:eastAsia="仿宋_GB2312" w:cs="TimesNewRoman"/>
          <w:kern w:val="0"/>
          <w:sz w:val="32"/>
          <w:szCs w:val="32"/>
        </w:rPr>
        <w:t>25723.65</w:t>
      </w:r>
      <w:bookmarkEnd w:id="3"/>
      <w:r>
        <w:rPr>
          <w:rFonts w:hint="eastAsia" w:ascii="TimesNewRoman" w:hAnsi="TimesNewRoman" w:eastAsia="仿宋_GB2312" w:cs="TimesNewRoman"/>
          <w:kern w:val="0"/>
          <w:sz w:val="32"/>
          <w:szCs w:val="32"/>
        </w:rPr>
        <w:t>万元，其中，本年收入</w:t>
      </w:r>
      <w:r>
        <w:rPr>
          <w:rFonts w:ascii="TimesNewRoman" w:hAnsi="TimesNewRoman" w:eastAsia="仿宋_GB2312" w:cs="TimesNewRoman"/>
          <w:kern w:val="0"/>
          <w:sz w:val="32"/>
          <w:szCs w:val="32"/>
        </w:rPr>
        <w:t>25723.65</w:t>
      </w:r>
      <w:r>
        <w:rPr>
          <w:rFonts w:hint="eastAsia" w:ascii="TimesNewRoman" w:hAnsi="TimesNewRoman" w:eastAsia="仿宋_GB2312" w:cs="TimesNewRoman"/>
          <w:kern w:val="0"/>
          <w:sz w:val="32"/>
          <w:szCs w:val="32"/>
        </w:rPr>
        <w:t>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ascii="TimesNewRoman" w:hAnsi="TimesNewRoman" w:eastAsia="仿宋_GB2312" w:cs="TimesNewRoman"/>
          <w:b/>
          <w:kern w:val="0"/>
          <w:sz w:val="32"/>
          <w:szCs w:val="32"/>
        </w:rPr>
        <w:t>25723.65</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ascii="TimesNewRoman" w:hAnsi="TimesNewRoman" w:eastAsia="仿宋_GB2312" w:cs="TimesNewRoman"/>
          <w:kern w:val="0"/>
          <w:sz w:val="32"/>
          <w:szCs w:val="32"/>
        </w:rPr>
        <w:t>18123.65</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70.46</w:t>
      </w:r>
      <w:r>
        <w:rPr>
          <w:rFonts w:hint="eastAsia" w:ascii="TimesNewRoman" w:hAnsi="TimesNewRoman" w:eastAsia="仿宋_GB2312" w:cs="TimesNewRoman"/>
          <w:kern w:val="0"/>
          <w:sz w:val="32"/>
          <w:szCs w:val="32"/>
        </w:rPr>
        <w:t>%，比2022年预算增加4</w:t>
      </w:r>
      <w:r>
        <w:rPr>
          <w:rFonts w:ascii="TimesNewRoman" w:hAnsi="TimesNewRoman" w:eastAsia="仿宋_GB2312" w:cs="TimesNewRoman"/>
          <w:kern w:val="0"/>
          <w:sz w:val="32"/>
          <w:szCs w:val="32"/>
        </w:rPr>
        <w:t>885</w:t>
      </w:r>
      <w:r>
        <w:rPr>
          <w:rFonts w:hint="eastAsia" w:ascii="TimesNewRoman" w:hAnsi="TimesNewRoman" w:eastAsia="仿宋_GB2312" w:cs="TimesNewRoman"/>
          <w:kern w:val="0"/>
          <w:sz w:val="32"/>
          <w:szCs w:val="32"/>
        </w:rPr>
        <w:t>.</w:t>
      </w:r>
      <w:r>
        <w:rPr>
          <w:rFonts w:ascii="TimesNewRoman" w:hAnsi="TimesNewRoman" w:eastAsia="仿宋_GB2312" w:cs="TimesNewRoman"/>
          <w:kern w:val="0"/>
          <w:sz w:val="32"/>
          <w:szCs w:val="32"/>
        </w:rPr>
        <w:t>1</w:t>
      </w:r>
      <w:r>
        <w:rPr>
          <w:rFonts w:hint="eastAsia" w:ascii="TimesNewRoman" w:hAnsi="TimesNewRoman" w:eastAsia="仿宋_GB2312" w:cs="TimesNewRoman"/>
          <w:kern w:val="0"/>
          <w:sz w:val="32"/>
          <w:szCs w:val="32"/>
        </w:rPr>
        <w:t>万元，增长3</w:t>
      </w:r>
      <w:r>
        <w:rPr>
          <w:rFonts w:ascii="TimesNewRoman" w:hAnsi="TimesNewRoman" w:eastAsia="仿宋_GB2312" w:cs="TimesNewRoman"/>
          <w:kern w:val="0"/>
          <w:sz w:val="32"/>
          <w:szCs w:val="32"/>
        </w:rPr>
        <w:t>6.9</w:t>
      </w:r>
      <w:r>
        <w:rPr>
          <w:rFonts w:hint="eastAsia" w:ascii="TimesNewRoman" w:hAnsi="TimesNewRoman" w:eastAsia="仿宋_GB2312" w:cs="TimesNewRoman"/>
          <w:kern w:val="0"/>
          <w:sz w:val="32"/>
          <w:szCs w:val="32"/>
        </w:rPr>
        <w:t>%，原因主要是</w:t>
      </w:r>
      <w:r>
        <w:rPr>
          <w:rFonts w:hint="eastAsia" w:ascii="仿宋_GB2312" w:eastAsia="仿宋_GB2312"/>
          <w:sz w:val="32"/>
          <w:szCs w:val="32"/>
        </w:rPr>
        <w:t>我院实行生均拨款制度，2023年学生人数增加，生均拨款总额增加；另外人员工资的增加，社保计算基数增加，社保投入也相应地增加</w:t>
      </w:r>
      <w:r>
        <w:rPr>
          <w:rFonts w:hint="eastAsia" w:ascii="TimesNewRoman" w:hAnsi="TimesNewRoman" w:eastAsia="仿宋_GB2312" w:cs="TimesNewRoman"/>
          <w:kern w:val="0"/>
          <w:sz w:val="32"/>
          <w:szCs w:val="32"/>
        </w:rPr>
        <w:t>；政府性基金预算拨款收入</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%，比2022年预算增加0万元，增长0%，原因主要是</w:t>
      </w:r>
      <w:r>
        <w:rPr>
          <w:rFonts w:hint="eastAsia" w:ascii="仿宋_GB2312" w:eastAsia="仿宋_GB2312"/>
          <w:sz w:val="32"/>
          <w:szCs w:val="32"/>
        </w:rPr>
        <w:t>无政府性基金预算收入</w:t>
      </w:r>
      <w:r>
        <w:rPr>
          <w:rFonts w:hint="eastAsia" w:ascii="TimesNewRoman" w:hAnsi="TimesNewRoman" w:eastAsia="仿宋_GB2312" w:cs="TimesNewRoman"/>
          <w:kern w:val="0"/>
          <w:sz w:val="32"/>
          <w:szCs w:val="32"/>
        </w:rPr>
        <w:t>；财政专户管理资金收入</w:t>
      </w:r>
      <w:r>
        <w:rPr>
          <w:rFonts w:ascii="TimesNewRoman" w:hAnsi="TimesNewRoman" w:eastAsia="仿宋_GB2312" w:cs="TimesNewRoman"/>
          <w:kern w:val="0"/>
          <w:sz w:val="32"/>
          <w:szCs w:val="32"/>
        </w:rPr>
        <w:t>7600</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29.54</w:t>
      </w:r>
      <w:r>
        <w:rPr>
          <w:rFonts w:hint="eastAsia" w:ascii="TimesNewRoman" w:hAnsi="TimesNewRoman" w:eastAsia="仿宋_GB2312" w:cs="TimesNewRoman"/>
          <w:kern w:val="0"/>
          <w:sz w:val="32"/>
          <w:szCs w:val="32"/>
        </w:rPr>
        <w:t>%，比2022年预算增加2</w:t>
      </w:r>
      <w:r>
        <w:rPr>
          <w:rFonts w:ascii="TimesNewRoman" w:hAnsi="TimesNewRoman" w:eastAsia="仿宋_GB2312" w:cs="TimesNewRoman"/>
          <w:kern w:val="0"/>
          <w:sz w:val="32"/>
          <w:szCs w:val="32"/>
        </w:rPr>
        <w:t>00</w:t>
      </w:r>
      <w:r>
        <w:rPr>
          <w:rFonts w:hint="eastAsia" w:ascii="TimesNewRoman" w:hAnsi="TimesNewRoman" w:eastAsia="仿宋_GB2312" w:cs="TimesNewRoman"/>
          <w:kern w:val="0"/>
          <w:sz w:val="32"/>
          <w:szCs w:val="32"/>
        </w:rPr>
        <w:t>万元，增长2</w:t>
      </w:r>
      <w:r>
        <w:rPr>
          <w:rFonts w:ascii="TimesNewRoman" w:hAnsi="TimesNewRoman" w:eastAsia="仿宋_GB2312" w:cs="TimesNewRoman"/>
          <w:kern w:val="0"/>
          <w:sz w:val="32"/>
          <w:szCs w:val="32"/>
        </w:rPr>
        <w:t>.7</w:t>
      </w:r>
      <w:r>
        <w:rPr>
          <w:rFonts w:hint="eastAsia" w:ascii="TimesNewRoman" w:hAnsi="TimesNewRoman" w:eastAsia="仿宋_GB2312" w:cs="TimesNewRoman"/>
          <w:kern w:val="0"/>
          <w:sz w:val="32"/>
          <w:szCs w:val="32"/>
        </w:rPr>
        <w:t>%，原因主要是招生平稳增长，</w:t>
      </w:r>
      <w:r>
        <w:rPr>
          <w:rFonts w:hint="eastAsia" w:ascii="仿宋_GB2312" w:eastAsia="仿宋_GB2312"/>
          <w:sz w:val="32"/>
          <w:szCs w:val="32"/>
        </w:rPr>
        <w:t>学生人数增加，学费收入增加。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2023年支出预算</w:t>
      </w:r>
      <w:r>
        <w:rPr>
          <w:rFonts w:ascii="TimesNewRoman" w:hAnsi="TimesNewRoman" w:eastAsia="仿宋_GB2312" w:cs="TimesNewRoman"/>
          <w:kern w:val="0"/>
          <w:sz w:val="32"/>
          <w:szCs w:val="32"/>
        </w:rPr>
        <w:t>25723.65</w:t>
      </w:r>
      <w:r>
        <w:rPr>
          <w:rFonts w:hint="eastAsia" w:ascii="TimesNewRoman" w:hAnsi="TimesNewRoman" w:eastAsia="仿宋_GB2312" w:cs="TimesNewRoman"/>
          <w:kern w:val="0"/>
          <w:sz w:val="32"/>
          <w:szCs w:val="32"/>
        </w:rPr>
        <w:t>万元，比2022年预算增加</w:t>
      </w:r>
      <w:bookmarkStart w:id="4" w:name="_Hlk126681160"/>
      <w:r>
        <w:rPr>
          <w:rFonts w:hint="eastAsia" w:ascii="TimesNewRoman" w:hAnsi="TimesNewRoman" w:eastAsia="仿宋_GB2312" w:cs="TimesNewRoman"/>
          <w:kern w:val="0"/>
          <w:sz w:val="32"/>
          <w:szCs w:val="32"/>
        </w:rPr>
        <w:t>5</w:t>
      </w:r>
      <w:r>
        <w:rPr>
          <w:rFonts w:ascii="TimesNewRoman" w:hAnsi="TimesNewRoman" w:eastAsia="仿宋_GB2312" w:cs="TimesNewRoman"/>
          <w:kern w:val="0"/>
          <w:sz w:val="32"/>
          <w:szCs w:val="32"/>
        </w:rPr>
        <w:t>085.1</w:t>
      </w:r>
      <w:bookmarkEnd w:id="4"/>
      <w:r>
        <w:rPr>
          <w:rFonts w:hint="eastAsia" w:ascii="TimesNewRoman" w:hAnsi="TimesNewRoman" w:eastAsia="仿宋_GB2312" w:cs="TimesNewRoman"/>
          <w:kern w:val="0"/>
          <w:sz w:val="32"/>
          <w:szCs w:val="32"/>
        </w:rPr>
        <w:t>万元，增长2</w:t>
      </w:r>
      <w:r>
        <w:rPr>
          <w:rFonts w:ascii="TimesNewRoman" w:hAnsi="TimesNewRoman" w:eastAsia="仿宋_GB2312" w:cs="TimesNewRoman"/>
          <w:kern w:val="0"/>
          <w:sz w:val="32"/>
          <w:szCs w:val="32"/>
        </w:rPr>
        <w:t>4.6</w:t>
      </w:r>
      <w:r>
        <w:rPr>
          <w:rFonts w:hint="eastAsia" w:ascii="TimesNewRoman" w:hAnsi="TimesNewRoman" w:eastAsia="仿宋_GB2312" w:cs="TimesNewRoman"/>
          <w:kern w:val="0"/>
          <w:sz w:val="32"/>
          <w:szCs w:val="32"/>
        </w:rPr>
        <w:t>%，原因主要是</w:t>
      </w:r>
      <w:r>
        <w:rPr>
          <w:rFonts w:hint="eastAsia" w:ascii="仿宋_GB2312" w:eastAsia="仿宋_GB2312"/>
          <w:sz w:val="32"/>
          <w:szCs w:val="32"/>
        </w:rPr>
        <w:t>我院</w:t>
      </w:r>
      <w:r>
        <w:rPr>
          <w:rFonts w:hint="eastAsia" w:ascii="仿宋_GB2312" w:eastAsia="仿宋_GB2312"/>
          <w:sz w:val="32"/>
          <w:szCs w:val="32"/>
          <w:lang w:val="en-US" w:eastAsia="zh-CN"/>
        </w:rPr>
        <w:t>收入预算增加</w:t>
      </w:r>
      <w:r>
        <w:rPr>
          <w:rFonts w:hint="eastAsia" w:ascii="仿宋_GB2312" w:eastAsia="仿宋_GB2312"/>
          <w:sz w:val="32"/>
          <w:szCs w:val="32"/>
        </w:rPr>
        <w:t>，随着</w:t>
      </w:r>
      <w:r>
        <w:rPr>
          <w:rFonts w:ascii="TimesNewRoman" w:hAnsi="TimesNewRoman" w:eastAsia="仿宋_GB2312" w:cs="TimesNewRoman"/>
          <w:kern w:val="0"/>
          <w:sz w:val="32"/>
          <w:szCs w:val="32"/>
        </w:rPr>
        <w:t>2023</w:t>
      </w:r>
      <w:r>
        <w:rPr>
          <w:rFonts w:hint="eastAsia" w:ascii="仿宋_GB2312" w:eastAsia="仿宋_GB2312"/>
          <w:sz w:val="32"/>
          <w:szCs w:val="32"/>
        </w:rPr>
        <w:t>年学生人数增加，生均拨款总额增加，</w:t>
      </w:r>
      <w:r>
        <w:rPr>
          <w:rFonts w:hint="eastAsia" w:ascii="仿宋_GB2312" w:eastAsia="仿宋_GB2312"/>
          <w:sz w:val="32"/>
          <w:szCs w:val="32"/>
          <w:lang w:val="en-US" w:eastAsia="zh-CN"/>
        </w:rPr>
        <w:t>学费收入增加，因此</w:t>
      </w:r>
      <w:r>
        <w:rPr>
          <w:rFonts w:hint="eastAsia" w:ascii="仿宋_GB2312" w:eastAsia="仿宋_GB2312"/>
          <w:sz w:val="32"/>
          <w:szCs w:val="32"/>
        </w:rPr>
        <w:t>安排的预算支出相应地增加，另外人员工资的增</w:t>
      </w:r>
      <w:r>
        <w:rPr>
          <w:rFonts w:hint="eastAsia" w:ascii="仿宋_GB2312" w:eastAsia="仿宋_GB2312"/>
          <w:sz w:val="32"/>
          <w:szCs w:val="32"/>
          <w:lang w:val="en-US" w:eastAsia="zh-CN"/>
        </w:rPr>
        <w:t>资</w:t>
      </w:r>
      <w:r>
        <w:rPr>
          <w:rFonts w:hint="eastAsia" w:ascii="仿宋_GB2312" w:eastAsia="仿宋_GB2312"/>
          <w:sz w:val="32"/>
          <w:szCs w:val="32"/>
        </w:rPr>
        <w:t>，社保等支出也相应地增加</w:t>
      </w:r>
      <w:r>
        <w:rPr>
          <w:rFonts w:hint="eastAsia" w:ascii="TimesNewRoman" w:hAnsi="TimesNewRoman" w:eastAsia="仿宋_GB2312" w:cs="TimesNewRoman"/>
          <w:kern w:val="0"/>
          <w:sz w:val="32"/>
          <w:szCs w:val="32"/>
        </w:rPr>
        <w:t>。其中，基本支出</w:t>
      </w:r>
      <w:r>
        <w:rPr>
          <w:rFonts w:ascii="TimesNewRoman" w:hAnsi="TimesNewRoman" w:eastAsia="仿宋_GB2312" w:cs="TimesNewRoman"/>
          <w:kern w:val="0"/>
          <w:sz w:val="32"/>
          <w:szCs w:val="32"/>
        </w:rPr>
        <w:t>13441.96</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52.26</w:t>
      </w:r>
      <w:r>
        <w:rPr>
          <w:rFonts w:hint="eastAsia" w:ascii="TimesNewRoman" w:hAnsi="TimesNewRoman" w:eastAsia="仿宋_GB2312" w:cs="TimesNewRoman"/>
          <w:kern w:val="0"/>
          <w:sz w:val="32"/>
          <w:szCs w:val="32"/>
        </w:rPr>
        <w:t>%，主要用于保障机构日常运转、完成日常工作任务；项目支出</w:t>
      </w:r>
      <w:r>
        <w:rPr>
          <w:rFonts w:ascii="TimesNewRoman" w:hAnsi="TimesNewRoman" w:eastAsia="仿宋_GB2312" w:cs="TimesNewRoman"/>
          <w:kern w:val="0"/>
          <w:sz w:val="32"/>
          <w:szCs w:val="32"/>
        </w:rPr>
        <w:t>12281.69</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47.74</w:t>
      </w:r>
      <w:r>
        <w:rPr>
          <w:rFonts w:hint="eastAsia" w:ascii="TimesNewRoman" w:hAnsi="TimesNewRoman" w:eastAsia="仿宋_GB2312" w:cs="TimesNewRoman"/>
          <w:kern w:val="0"/>
          <w:sz w:val="32"/>
          <w:szCs w:val="32"/>
        </w:rPr>
        <w:t>%，主要用于</w:t>
      </w:r>
      <w:r>
        <w:rPr>
          <w:rFonts w:hint="eastAsia" w:ascii="仿宋_GB2312" w:hAnsi="黑体" w:eastAsia="仿宋_GB2312"/>
          <w:sz w:val="32"/>
          <w:szCs w:val="32"/>
        </w:rPr>
        <w:t>完成特定的工作任务和事业发展目标</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四、关于2023年财政拨款收支总表的说明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2023年财政拨款收支预算</w:t>
      </w:r>
      <w:bookmarkStart w:id="5" w:name="_Hlk126612587"/>
      <w:r>
        <w:rPr>
          <w:rFonts w:ascii="TimesNewRoman" w:hAnsi="TimesNewRoman" w:eastAsia="仿宋_GB2312" w:cs="TimesNewRoman"/>
          <w:kern w:val="0"/>
          <w:sz w:val="32"/>
          <w:szCs w:val="32"/>
        </w:rPr>
        <w:t>18123.65</w:t>
      </w:r>
      <w:bookmarkEnd w:id="5"/>
      <w:r>
        <w:rPr>
          <w:rFonts w:hint="eastAsia" w:ascii="TimesNewRoman" w:hAnsi="TimesNewRoman" w:eastAsia="仿宋_GB2312" w:cs="TimesNewRoman"/>
          <w:kern w:val="0"/>
          <w:sz w:val="32"/>
          <w:szCs w:val="32"/>
        </w:rPr>
        <w:t>万元。收入按资金来源分为：一般公共预算拨款</w:t>
      </w:r>
      <w:bookmarkStart w:id="6" w:name="_Hlk126613026"/>
      <w:r>
        <w:rPr>
          <w:rFonts w:ascii="TimesNewRoman" w:hAnsi="TimesNewRoman" w:eastAsia="仿宋_GB2312" w:cs="TimesNewRoman"/>
          <w:kern w:val="0"/>
          <w:sz w:val="32"/>
          <w:szCs w:val="32"/>
        </w:rPr>
        <w:t>18123.65</w:t>
      </w:r>
      <w:bookmarkEnd w:id="6"/>
      <w:r>
        <w:rPr>
          <w:rFonts w:hint="eastAsia" w:ascii="TimesNewRoman" w:hAnsi="TimesNewRoman" w:eastAsia="仿宋_GB2312" w:cs="TimesNewRoman"/>
          <w:kern w:val="0"/>
          <w:sz w:val="32"/>
          <w:szCs w:val="32"/>
        </w:rPr>
        <w:t>万元、政府性基金预算拨款</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万元；按资金年度分为：本年财政拨款收入</w:t>
      </w:r>
      <w:r>
        <w:rPr>
          <w:rFonts w:ascii="TimesNewRoman" w:hAnsi="TimesNewRoman" w:eastAsia="仿宋_GB2312" w:cs="TimesNewRoman"/>
          <w:kern w:val="0"/>
          <w:sz w:val="32"/>
          <w:szCs w:val="32"/>
        </w:rPr>
        <w:t>18123.65</w:t>
      </w:r>
      <w:r>
        <w:rPr>
          <w:rFonts w:hint="eastAsia" w:ascii="TimesNewRoman" w:hAnsi="TimesNewRoman" w:eastAsia="仿宋_GB2312" w:cs="TimesNewRoman"/>
          <w:kern w:val="0"/>
          <w:sz w:val="32"/>
          <w:szCs w:val="32"/>
        </w:rPr>
        <w:t>万元。支出按功能分类分为：教育支出</w:t>
      </w:r>
      <w:bookmarkStart w:id="7" w:name="_Hlk126613301"/>
      <w:r>
        <w:rPr>
          <w:rFonts w:ascii="TimesNewRoman" w:hAnsi="TimesNewRoman" w:eastAsia="仿宋_GB2312" w:cs="TimesNewRoman"/>
          <w:kern w:val="0"/>
          <w:sz w:val="32"/>
          <w:szCs w:val="32"/>
        </w:rPr>
        <w:t>14453.6</w:t>
      </w:r>
      <w:bookmarkEnd w:id="7"/>
      <w:r>
        <w:rPr>
          <w:rFonts w:hint="eastAsia" w:ascii="TimesNewRoman" w:hAnsi="TimesNewRoman" w:eastAsia="仿宋_GB2312" w:cs="TimesNewRoman"/>
          <w:kern w:val="0"/>
          <w:sz w:val="32"/>
          <w:szCs w:val="32"/>
        </w:rPr>
        <w:t>万元，占</w:t>
      </w:r>
      <w:bookmarkStart w:id="8" w:name="_Hlk126613323"/>
      <w:r>
        <w:rPr>
          <w:rFonts w:ascii="TimesNewRoman" w:hAnsi="TimesNewRoman" w:eastAsia="仿宋_GB2312" w:cs="TimesNewRoman"/>
          <w:kern w:val="0"/>
          <w:sz w:val="32"/>
          <w:szCs w:val="32"/>
        </w:rPr>
        <w:t>79.75</w:t>
      </w:r>
      <w:bookmarkEnd w:id="8"/>
      <w:r>
        <w:rPr>
          <w:rFonts w:hint="eastAsia" w:ascii="TimesNewRoman" w:hAnsi="TimesNewRoman" w:eastAsia="仿宋_GB2312" w:cs="TimesNewRoman"/>
          <w:kern w:val="0"/>
          <w:sz w:val="32"/>
          <w:szCs w:val="32"/>
        </w:rPr>
        <w:t>%；社会保障和就业支出</w:t>
      </w:r>
      <w:r>
        <w:rPr>
          <w:rFonts w:ascii="TimesNewRoman" w:hAnsi="TimesNewRoman" w:eastAsia="仿宋_GB2312" w:cs="TimesNewRoman"/>
          <w:kern w:val="0"/>
          <w:sz w:val="32"/>
          <w:szCs w:val="32"/>
        </w:rPr>
        <w:t>2142.47</w:t>
      </w:r>
      <w:r>
        <w:rPr>
          <w:rFonts w:hint="eastAsia" w:ascii="TimesNewRoman" w:hAnsi="TimesNewRoman" w:eastAsia="仿宋_GB2312" w:cs="TimesNewRoman"/>
          <w:kern w:val="0"/>
          <w:sz w:val="32"/>
          <w:szCs w:val="32"/>
        </w:rPr>
        <w:t>万元，占</w:t>
      </w:r>
      <w:bookmarkStart w:id="9" w:name="_Hlk126613393"/>
      <w:r>
        <w:rPr>
          <w:rFonts w:ascii="TimesNewRoman" w:hAnsi="TimesNewRoman" w:eastAsia="仿宋_GB2312" w:cs="TimesNewRoman"/>
          <w:kern w:val="0"/>
          <w:sz w:val="32"/>
          <w:szCs w:val="32"/>
        </w:rPr>
        <w:t>11.82</w:t>
      </w:r>
      <w:bookmarkEnd w:id="9"/>
      <w:r>
        <w:rPr>
          <w:rFonts w:hint="eastAsia" w:ascii="TimesNewRoman" w:hAnsi="TimesNewRoman" w:eastAsia="仿宋_GB2312" w:cs="TimesNewRoman"/>
          <w:kern w:val="0"/>
          <w:sz w:val="32"/>
          <w:szCs w:val="32"/>
        </w:rPr>
        <w:t>%；卫生健康支出</w:t>
      </w:r>
      <w:bookmarkStart w:id="10" w:name="_Hlk126613365"/>
      <w:r>
        <w:rPr>
          <w:rFonts w:ascii="TimesNewRoman" w:hAnsi="TimesNewRoman" w:eastAsia="仿宋_GB2312" w:cs="TimesNewRoman"/>
          <w:kern w:val="0"/>
          <w:sz w:val="32"/>
          <w:szCs w:val="32"/>
        </w:rPr>
        <w:t>485.79</w:t>
      </w:r>
      <w:bookmarkEnd w:id="10"/>
      <w:r>
        <w:rPr>
          <w:rFonts w:hint="eastAsia" w:ascii="TimesNewRoman" w:hAnsi="TimesNewRoman" w:eastAsia="仿宋_GB2312" w:cs="TimesNewRoman"/>
          <w:kern w:val="0"/>
          <w:sz w:val="32"/>
          <w:szCs w:val="32"/>
        </w:rPr>
        <w:t>万元，占</w:t>
      </w:r>
      <w:bookmarkStart w:id="11" w:name="_Hlk126613408"/>
      <w:r>
        <w:rPr>
          <w:rFonts w:ascii="TimesNewRoman" w:hAnsi="TimesNewRoman" w:eastAsia="仿宋_GB2312" w:cs="TimesNewRoman"/>
          <w:kern w:val="0"/>
          <w:sz w:val="32"/>
          <w:szCs w:val="32"/>
        </w:rPr>
        <w:t>2.68</w:t>
      </w:r>
      <w:bookmarkEnd w:id="11"/>
      <w:r>
        <w:rPr>
          <w:rFonts w:hint="eastAsia" w:ascii="TimesNewRoman" w:hAnsi="TimesNewRoman" w:eastAsia="仿宋_GB2312" w:cs="TimesNewRoman"/>
          <w:kern w:val="0"/>
          <w:sz w:val="32"/>
          <w:szCs w:val="32"/>
        </w:rPr>
        <w:t>%；住房保障支出</w:t>
      </w:r>
      <w:bookmarkStart w:id="12" w:name="_Hlk126613421"/>
      <w:r>
        <w:rPr>
          <w:rFonts w:ascii="TimesNewRoman" w:hAnsi="TimesNewRoman" w:eastAsia="仿宋_GB2312" w:cs="TimesNewRoman"/>
          <w:kern w:val="0"/>
          <w:sz w:val="32"/>
          <w:szCs w:val="32"/>
        </w:rPr>
        <w:t>1041.79</w:t>
      </w:r>
      <w:bookmarkEnd w:id="12"/>
      <w:r>
        <w:rPr>
          <w:rFonts w:hint="eastAsia" w:ascii="TimesNewRoman" w:hAnsi="TimesNewRoman" w:eastAsia="仿宋_GB2312" w:cs="TimesNewRoman"/>
          <w:kern w:val="0"/>
          <w:sz w:val="32"/>
          <w:szCs w:val="32"/>
        </w:rPr>
        <w:t>万元，占</w:t>
      </w:r>
      <w:bookmarkStart w:id="13" w:name="_Hlk126613438"/>
      <w:r>
        <w:rPr>
          <w:rFonts w:ascii="TimesNewRoman" w:hAnsi="TimesNewRoman" w:eastAsia="仿宋_GB2312" w:cs="TimesNewRoman"/>
          <w:kern w:val="0"/>
          <w:sz w:val="32"/>
          <w:szCs w:val="32"/>
        </w:rPr>
        <w:t>5.75</w:t>
      </w:r>
      <w:bookmarkEnd w:id="13"/>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五、关于2023年一般公共预算支出表的说明</w:t>
      </w:r>
    </w:p>
    <w:p>
      <w:pPr>
        <w:pStyle w:val="3"/>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2023年一般公共预算支出</w:t>
      </w:r>
      <w:r>
        <w:rPr>
          <w:rFonts w:ascii="TimesNewRoman" w:hAnsi="TimesNewRoman" w:eastAsia="仿宋_GB2312" w:cs="TimesNewRoman"/>
          <w:kern w:val="0"/>
          <w:sz w:val="32"/>
          <w:szCs w:val="32"/>
        </w:rPr>
        <w:t>18123.65</w:t>
      </w:r>
      <w:r>
        <w:rPr>
          <w:rFonts w:hint="eastAsia" w:ascii="TimesNewRoman" w:hAnsi="TimesNewRoman" w:eastAsia="仿宋_GB2312" w:cs="TimesNewRoman"/>
          <w:kern w:val="0"/>
          <w:sz w:val="32"/>
          <w:szCs w:val="32"/>
        </w:rPr>
        <w:t>万元，比2022年预算增加4</w:t>
      </w:r>
      <w:r>
        <w:rPr>
          <w:rFonts w:ascii="TimesNewRoman" w:hAnsi="TimesNewRoman" w:eastAsia="仿宋_GB2312" w:cs="TimesNewRoman"/>
          <w:kern w:val="0"/>
          <w:sz w:val="32"/>
          <w:szCs w:val="32"/>
        </w:rPr>
        <w:t>885.1</w:t>
      </w:r>
      <w:r>
        <w:rPr>
          <w:rFonts w:hint="eastAsia" w:ascii="TimesNewRoman" w:hAnsi="TimesNewRoman" w:eastAsia="仿宋_GB2312" w:cs="TimesNewRoman"/>
          <w:kern w:val="0"/>
          <w:sz w:val="32"/>
          <w:szCs w:val="32"/>
        </w:rPr>
        <w:t>万元，增长3</w:t>
      </w:r>
      <w:r>
        <w:rPr>
          <w:rFonts w:ascii="TimesNewRoman" w:hAnsi="TimesNewRoman" w:eastAsia="仿宋_GB2312" w:cs="TimesNewRoman"/>
          <w:kern w:val="0"/>
          <w:sz w:val="32"/>
          <w:szCs w:val="32"/>
        </w:rPr>
        <w:t>6.9</w:t>
      </w:r>
      <w:r>
        <w:rPr>
          <w:rFonts w:hint="eastAsia" w:ascii="TimesNewRoman" w:hAnsi="TimesNewRoman" w:eastAsia="仿宋_GB2312" w:cs="TimesNewRoman"/>
          <w:kern w:val="0"/>
          <w:sz w:val="32"/>
          <w:szCs w:val="32"/>
        </w:rPr>
        <w:t>%，主要原因：一是</w:t>
      </w:r>
      <w:r>
        <w:rPr>
          <w:rFonts w:hint="eastAsia" w:ascii="仿宋_GB2312" w:eastAsia="仿宋_GB2312"/>
          <w:sz w:val="32"/>
          <w:szCs w:val="32"/>
        </w:rPr>
        <w:t>我院实行</w:t>
      </w:r>
      <w:bookmarkStart w:id="14" w:name="_Hlk126614200"/>
      <w:r>
        <w:rPr>
          <w:rFonts w:hint="eastAsia" w:ascii="仿宋_GB2312" w:eastAsia="仿宋_GB2312"/>
          <w:sz w:val="32"/>
          <w:szCs w:val="32"/>
        </w:rPr>
        <w:t>生均拨款制度，2023年学生人数增加，生均拨款总额增加，预算支出相应地增加</w:t>
      </w:r>
      <w:bookmarkEnd w:id="14"/>
      <w:r>
        <w:rPr>
          <w:rFonts w:hint="eastAsia" w:ascii="TimesNewRoman" w:hAnsi="TimesNewRoman" w:eastAsia="仿宋_GB2312" w:cs="TimesNewRoman"/>
          <w:kern w:val="0"/>
          <w:sz w:val="32"/>
          <w:szCs w:val="32"/>
        </w:rPr>
        <w:t>；二是</w:t>
      </w:r>
      <w:r>
        <w:rPr>
          <w:rFonts w:hint="eastAsia" w:ascii="仿宋_GB2312" w:eastAsia="仿宋_GB2312"/>
          <w:sz w:val="32"/>
          <w:szCs w:val="32"/>
        </w:rPr>
        <w:t>人员工资</w:t>
      </w:r>
      <w:r>
        <w:rPr>
          <w:rFonts w:hint="eastAsia" w:ascii="仿宋_GB2312" w:eastAsia="仿宋_GB2312"/>
          <w:sz w:val="32"/>
          <w:szCs w:val="32"/>
          <w:lang w:val="en-US" w:eastAsia="zh-CN"/>
        </w:rPr>
        <w:t>调整增资</w:t>
      </w:r>
      <w:r>
        <w:rPr>
          <w:rFonts w:hint="eastAsia" w:ascii="仿宋_GB2312" w:eastAsia="仿宋_GB2312"/>
          <w:sz w:val="32"/>
          <w:szCs w:val="32"/>
        </w:rPr>
        <w:t>，社保等支出也相应地增加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教育支出</w:t>
      </w:r>
      <w:r>
        <w:rPr>
          <w:rFonts w:ascii="TimesNewRoman" w:hAnsi="TimesNewRoman" w:eastAsia="仿宋_GB2312" w:cs="TimesNewRoman"/>
          <w:kern w:val="0"/>
          <w:sz w:val="32"/>
          <w:szCs w:val="32"/>
        </w:rPr>
        <w:t>14453.6</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79.75</w:t>
      </w:r>
      <w:r>
        <w:rPr>
          <w:rFonts w:hint="eastAsia" w:ascii="TimesNewRoman" w:hAnsi="TimesNewRoman" w:eastAsia="仿宋_GB2312" w:cs="TimesNewRoman"/>
          <w:kern w:val="0"/>
          <w:sz w:val="32"/>
          <w:szCs w:val="32"/>
        </w:rPr>
        <w:t>%；社会保障和就业支出</w:t>
      </w:r>
      <w:r>
        <w:rPr>
          <w:rFonts w:ascii="TimesNewRoman" w:hAnsi="TimesNewRoman" w:eastAsia="仿宋_GB2312" w:cs="TimesNewRoman"/>
          <w:kern w:val="0"/>
          <w:sz w:val="32"/>
          <w:szCs w:val="32"/>
        </w:rPr>
        <w:t>2142.47</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11.82</w:t>
      </w:r>
      <w:r>
        <w:rPr>
          <w:rFonts w:hint="eastAsia" w:ascii="TimesNewRoman" w:hAnsi="TimesNewRoman" w:eastAsia="仿宋_GB2312" w:cs="TimesNewRoman"/>
          <w:kern w:val="0"/>
          <w:sz w:val="32"/>
          <w:szCs w:val="32"/>
        </w:rPr>
        <w:t>%；卫生健康支出</w:t>
      </w:r>
      <w:r>
        <w:rPr>
          <w:rFonts w:ascii="TimesNewRoman" w:hAnsi="TimesNewRoman" w:eastAsia="仿宋_GB2312" w:cs="TimesNewRoman"/>
          <w:kern w:val="0"/>
          <w:sz w:val="32"/>
          <w:szCs w:val="32"/>
        </w:rPr>
        <w:t>485.79</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2.68</w:t>
      </w:r>
      <w:r>
        <w:rPr>
          <w:rFonts w:hint="eastAsia" w:ascii="TimesNewRoman" w:hAnsi="TimesNewRoman" w:eastAsia="仿宋_GB2312" w:cs="TimesNewRoman"/>
          <w:kern w:val="0"/>
          <w:sz w:val="32"/>
          <w:szCs w:val="32"/>
        </w:rPr>
        <w:t>%；住房保障支出</w:t>
      </w:r>
      <w:r>
        <w:rPr>
          <w:rFonts w:ascii="TimesNewRoman" w:hAnsi="TimesNewRoman" w:eastAsia="仿宋_GB2312" w:cs="TimesNewRoman"/>
          <w:kern w:val="0"/>
          <w:sz w:val="32"/>
          <w:szCs w:val="32"/>
        </w:rPr>
        <w:t>1041.79</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5.75</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w:t>
      </w:r>
      <w:bookmarkStart w:id="15" w:name="_Hlk126615386"/>
      <w:r>
        <w:rPr>
          <w:rFonts w:hint="eastAsia" w:ascii="TimesNewRoman" w:hAnsi="TimesNewRoman" w:eastAsia="仿宋_GB2312" w:cs="TimesNewRoman"/>
          <w:kern w:val="0"/>
          <w:sz w:val="32"/>
          <w:szCs w:val="32"/>
        </w:rPr>
        <w:t>、教育支出（类）职业教育（款）中等职业教育（项）2023年预算</w:t>
      </w:r>
      <w:r>
        <w:rPr>
          <w:rFonts w:ascii="TimesNewRoman" w:hAnsi="TimesNewRoman" w:eastAsia="仿宋_GB2312" w:cs="TimesNewRoman"/>
          <w:kern w:val="0"/>
          <w:sz w:val="32"/>
          <w:szCs w:val="32"/>
        </w:rPr>
        <w:t>904</w:t>
      </w:r>
      <w:r>
        <w:rPr>
          <w:rFonts w:hint="eastAsia" w:ascii="TimesNewRoman" w:hAnsi="TimesNewRoman" w:eastAsia="仿宋_GB2312" w:cs="TimesNewRoman"/>
          <w:kern w:val="0"/>
          <w:sz w:val="32"/>
          <w:szCs w:val="32"/>
        </w:rPr>
        <w:t>万元，高等职业教育（项）2023年预算</w:t>
      </w:r>
      <w:r>
        <w:rPr>
          <w:rFonts w:ascii="TimesNewRoman" w:hAnsi="TimesNewRoman" w:eastAsia="仿宋_GB2312" w:cs="TimesNewRoman"/>
          <w:kern w:val="0"/>
          <w:sz w:val="32"/>
          <w:szCs w:val="32"/>
        </w:rPr>
        <w:t>13549.6</w:t>
      </w:r>
      <w:r>
        <w:rPr>
          <w:rFonts w:hint="eastAsia" w:ascii="TimesNewRoman" w:hAnsi="TimesNewRoman" w:eastAsia="仿宋_GB2312" w:cs="TimesNewRoman"/>
          <w:kern w:val="0"/>
          <w:sz w:val="32"/>
          <w:szCs w:val="32"/>
        </w:rPr>
        <w:t>万元；比2022年预算增加3</w:t>
      </w:r>
      <w:r>
        <w:rPr>
          <w:rFonts w:ascii="TimesNewRoman" w:hAnsi="TimesNewRoman" w:eastAsia="仿宋_GB2312" w:cs="TimesNewRoman"/>
          <w:kern w:val="0"/>
          <w:sz w:val="32"/>
          <w:szCs w:val="32"/>
        </w:rPr>
        <w:t>978.8</w:t>
      </w:r>
      <w:r>
        <w:rPr>
          <w:rFonts w:hint="eastAsia" w:ascii="TimesNewRoman" w:hAnsi="TimesNewRoman" w:eastAsia="仿宋_GB2312" w:cs="TimesNewRoman"/>
          <w:kern w:val="0"/>
          <w:sz w:val="32"/>
          <w:szCs w:val="32"/>
        </w:rPr>
        <w:t>万元，增长3</w:t>
      </w:r>
      <w:r>
        <w:rPr>
          <w:rFonts w:ascii="TimesNewRoman" w:hAnsi="TimesNewRoman" w:eastAsia="仿宋_GB2312" w:cs="TimesNewRoman"/>
          <w:kern w:val="0"/>
          <w:sz w:val="32"/>
          <w:szCs w:val="32"/>
        </w:rPr>
        <w:t>7.98</w:t>
      </w:r>
      <w:r>
        <w:rPr>
          <w:rFonts w:hint="eastAsia" w:ascii="TimesNewRoman" w:hAnsi="TimesNewRoman" w:eastAsia="仿宋_GB2312" w:cs="TimesNewRoman"/>
          <w:kern w:val="0"/>
          <w:sz w:val="32"/>
          <w:szCs w:val="32"/>
        </w:rPr>
        <w:t>%，原因主要是实行</w:t>
      </w:r>
      <w:r>
        <w:rPr>
          <w:rFonts w:hint="eastAsia" w:ascii="仿宋_GB2312" w:eastAsia="仿宋_GB2312"/>
          <w:sz w:val="32"/>
          <w:szCs w:val="32"/>
        </w:rPr>
        <w:t>生均拨款制度，招生人数增加，生均拨款总额增加，安排的预算支出相应地增加</w:t>
      </w:r>
      <w:r>
        <w:rPr>
          <w:rFonts w:hint="eastAsia" w:ascii="TimesNewRoman" w:hAnsi="TimesNewRoman" w:eastAsia="仿宋_GB2312" w:cs="TimesNewRoman"/>
          <w:kern w:val="0"/>
          <w:sz w:val="32"/>
          <w:szCs w:val="32"/>
        </w:rPr>
        <w:t>。</w:t>
      </w:r>
    </w:p>
    <w:bookmarkEnd w:id="15"/>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2、卫生健康支出（类）行政事业单位医疗（款）事业单位医疗（项）2023年预算</w:t>
      </w:r>
      <w:r>
        <w:rPr>
          <w:rFonts w:ascii="TimesNewRoman" w:hAnsi="TimesNewRoman" w:eastAsia="仿宋_GB2312" w:cs="TimesNewRoman"/>
          <w:kern w:val="0"/>
          <w:sz w:val="32"/>
          <w:szCs w:val="32"/>
        </w:rPr>
        <w:t>323.22</w:t>
      </w:r>
      <w:r>
        <w:rPr>
          <w:rFonts w:hint="eastAsia" w:ascii="TimesNewRoman" w:hAnsi="TimesNewRoman" w:eastAsia="仿宋_GB2312" w:cs="TimesNewRoman"/>
          <w:kern w:val="0"/>
          <w:sz w:val="32"/>
          <w:szCs w:val="32"/>
        </w:rPr>
        <w:t>万元，公务员医疗补助（项）2023年预算</w:t>
      </w:r>
      <w:r>
        <w:rPr>
          <w:rFonts w:ascii="TimesNewRoman" w:hAnsi="TimesNewRoman" w:eastAsia="仿宋_GB2312" w:cs="TimesNewRoman"/>
          <w:kern w:val="0"/>
          <w:sz w:val="32"/>
          <w:szCs w:val="32"/>
        </w:rPr>
        <w:t>162.57</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比2022年预算增加</w:t>
      </w:r>
      <w:r>
        <w:rPr>
          <w:rFonts w:ascii="TimesNewRoman" w:hAnsi="TimesNewRoman" w:eastAsia="仿宋_GB2312" w:cs="TimesNewRoman"/>
          <w:kern w:val="0"/>
          <w:sz w:val="32"/>
          <w:szCs w:val="32"/>
        </w:rPr>
        <w:t>21.76</w:t>
      </w:r>
      <w:r>
        <w:rPr>
          <w:rFonts w:hint="eastAsia" w:ascii="TimesNewRoman" w:hAnsi="TimesNewRoman" w:eastAsia="仿宋_GB2312" w:cs="TimesNewRoman"/>
          <w:kern w:val="0"/>
          <w:sz w:val="32"/>
          <w:szCs w:val="32"/>
        </w:rPr>
        <w:t>万元，增长</w:t>
      </w:r>
      <w:r>
        <w:rPr>
          <w:rFonts w:ascii="TimesNewRoman" w:hAnsi="TimesNewRoman" w:eastAsia="仿宋_GB2312" w:cs="TimesNewRoman"/>
          <w:kern w:val="0"/>
          <w:sz w:val="32"/>
          <w:szCs w:val="32"/>
        </w:rPr>
        <w:t>4.69</w:t>
      </w:r>
      <w:r>
        <w:rPr>
          <w:rFonts w:hint="eastAsia" w:ascii="TimesNewRoman" w:hAnsi="TimesNewRoman" w:eastAsia="仿宋_GB2312" w:cs="TimesNewRoman"/>
          <w:kern w:val="0"/>
          <w:sz w:val="32"/>
          <w:szCs w:val="32"/>
        </w:rPr>
        <w:t>%，原因主要是工资变动导致提取的基数</w:t>
      </w:r>
      <w:r>
        <w:rPr>
          <w:rFonts w:hint="eastAsia" w:ascii="仿宋_GB2312" w:eastAsia="仿宋_GB2312"/>
          <w:sz w:val="32"/>
          <w:szCs w:val="32"/>
        </w:rPr>
        <w:t>增加，安排的预算支出相应地增加</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ascii="TimesNewRoman" w:hAnsi="TimesNewRoman" w:eastAsia="仿宋_GB2312" w:cs="TimesNewRoman"/>
          <w:kern w:val="0"/>
          <w:sz w:val="32"/>
          <w:szCs w:val="32"/>
        </w:rPr>
        <w:t>3</w:t>
      </w:r>
      <w:r>
        <w:rPr>
          <w:rFonts w:hint="eastAsia" w:ascii="TimesNewRoman" w:hAnsi="TimesNewRoman" w:eastAsia="仿宋_GB2312" w:cs="TimesNewRoman"/>
          <w:kern w:val="0"/>
          <w:sz w:val="32"/>
          <w:szCs w:val="32"/>
        </w:rPr>
        <w:t>、</w:t>
      </w:r>
      <w:bookmarkStart w:id="16" w:name="_Hlk126614817"/>
      <w:r>
        <w:rPr>
          <w:rFonts w:hint="eastAsia" w:ascii="TimesNewRoman" w:hAnsi="TimesNewRoman" w:eastAsia="仿宋_GB2312" w:cs="TimesNewRoman"/>
          <w:kern w:val="0"/>
          <w:sz w:val="32"/>
          <w:szCs w:val="32"/>
        </w:rPr>
        <w:t>社会保障和就业支出（类）</w:t>
      </w:r>
      <w:bookmarkEnd w:id="16"/>
      <w:r>
        <w:rPr>
          <w:rFonts w:hint="eastAsia" w:ascii="TimesNewRoman" w:hAnsi="TimesNewRoman" w:eastAsia="仿宋_GB2312" w:cs="TimesNewRoman"/>
          <w:kern w:val="0"/>
          <w:sz w:val="32"/>
          <w:szCs w:val="32"/>
        </w:rPr>
        <w:t>行政事业单位养老支出（款）事业单位离退休（项）2023年预算</w:t>
      </w:r>
      <w:r>
        <w:rPr>
          <w:rFonts w:ascii="TimesNewRoman" w:hAnsi="TimesNewRoman" w:eastAsia="仿宋_GB2312" w:cs="TimesNewRoman"/>
          <w:kern w:val="0"/>
          <w:sz w:val="32"/>
          <w:szCs w:val="32"/>
        </w:rPr>
        <w:t>831.06</w:t>
      </w:r>
      <w:r>
        <w:rPr>
          <w:rFonts w:hint="eastAsia" w:ascii="TimesNewRoman" w:hAnsi="TimesNewRoman" w:eastAsia="仿宋_GB2312" w:cs="TimesNewRoman"/>
          <w:kern w:val="0"/>
          <w:sz w:val="32"/>
          <w:szCs w:val="32"/>
        </w:rPr>
        <w:t>万元，社会保障和就业支出（类）行政事业单位养老支出（款）机关事业单位基本养老保险缴费支出（项）</w:t>
      </w:r>
      <w:bookmarkStart w:id="17" w:name="_Hlk126614928"/>
      <w:r>
        <w:rPr>
          <w:rFonts w:hint="eastAsia" w:ascii="TimesNewRoman" w:hAnsi="TimesNewRoman" w:eastAsia="仿宋_GB2312" w:cs="TimesNewRoman"/>
          <w:kern w:val="0"/>
          <w:sz w:val="32"/>
          <w:szCs w:val="32"/>
        </w:rPr>
        <w:t>2023年预算</w:t>
      </w:r>
      <w:bookmarkEnd w:id="17"/>
      <w:r>
        <w:rPr>
          <w:rFonts w:ascii="TimesNewRoman" w:hAnsi="TimesNewRoman" w:eastAsia="仿宋_GB2312" w:cs="TimesNewRoman"/>
          <w:kern w:val="0"/>
          <w:sz w:val="32"/>
          <w:szCs w:val="32"/>
        </w:rPr>
        <w:t>856.2</w:t>
      </w:r>
      <w:r>
        <w:rPr>
          <w:rFonts w:hint="eastAsia" w:ascii="TimesNewRoman" w:hAnsi="TimesNewRoman" w:eastAsia="仿宋_GB2312" w:cs="TimesNewRoman"/>
          <w:kern w:val="0"/>
          <w:sz w:val="32"/>
          <w:szCs w:val="32"/>
        </w:rPr>
        <w:t>万元，社会保障和就业支出（类）其他社会保障和就业支出（款）其他社会和保障就业支出（项）2023年预算4</w:t>
      </w:r>
      <w:r>
        <w:rPr>
          <w:rFonts w:ascii="TimesNewRoman" w:hAnsi="TimesNewRoman" w:eastAsia="仿宋_GB2312" w:cs="TimesNewRoman"/>
          <w:kern w:val="0"/>
          <w:sz w:val="32"/>
          <w:szCs w:val="32"/>
        </w:rPr>
        <w:t>55.21</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比2022年预算增加1</w:t>
      </w:r>
      <w:r>
        <w:rPr>
          <w:rFonts w:ascii="TimesNewRoman" w:hAnsi="TimesNewRoman" w:eastAsia="仿宋_GB2312" w:cs="TimesNewRoman"/>
          <w:kern w:val="0"/>
          <w:sz w:val="32"/>
          <w:szCs w:val="32"/>
        </w:rPr>
        <w:t>012.07</w:t>
      </w:r>
      <w:r>
        <w:rPr>
          <w:rFonts w:hint="eastAsia" w:ascii="TimesNewRoman" w:hAnsi="TimesNewRoman" w:eastAsia="仿宋_GB2312" w:cs="TimesNewRoman"/>
          <w:kern w:val="0"/>
          <w:sz w:val="32"/>
          <w:szCs w:val="32"/>
        </w:rPr>
        <w:t>万元，增长4</w:t>
      </w:r>
      <w:r>
        <w:rPr>
          <w:rFonts w:ascii="TimesNewRoman" w:hAnsi="TimesNewRoman" w:eastAsia="仿宋_GB2312" w:cs="TimesNewRoman"/>
          <w:kern w:val="0"/>
          <w:sz w:val="32"/>
          <w:szCs w:val="32"/>
        </w:rPr>
        <w:t>7.24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2023年</w:t>
      </w:r>
      <w:r>
        <w:rPr>
          <w:rFonts w:hint="eastAsia" w:ascii="TimesNewRoman" w:hAnsi="TimesNewRoman" w:eastAsia="仿宋_GB2312" w:cs="TimesNewRoman"/>
          <w:kern w:val="0"/>
          <w:sz w:val="32"/>
          <w:szCs w:val="32"/>
        </w:rPr>
        <w:t>增加了离退休人员生活补助预算，另外养老保险基数增加导致保险缴费支出增加。</w:t>
      </w:r>
    </w:p>
    <w:p>
      <w:pPr>
        <w:ind w:firstLine="640" w:firstLineChars="200"/>
        <w:rPr>
          <w:rFonts w:ascii="TimesNewRoman" w:hAnsi="TimesNewRoman" w:eastAsia="仿宋_GB2312" w:cs="TimesNewRoman"/>
          <w:kern w:val="0"/>
          <w:sz w:val="32"/>
          <w:szCs w:val="32"/>
        </w:rPr>
      </w:pPr>
      <w:r>
        <w:rPr>
          <w:rFonts w:ascii="TimesNewRoman" w:hAnsi="TimesNewRoman" w:eastAsia="仿宋_GB2312" w:cs="TimesNewRoman"/>
          <w:kern w:val="0"/>
          <w:sz w:val="32"/>
          <w:szCs w:val="32"/>
        </w:rPr>
        <w:t>4</w:t>
      </w:r>
      <w:r>
        <w:rPr>
          <w:rFonts w:hint="eastAsia" w:ascii="TimesNewRoman" w:hAnsi="TimesNewRoman" w:eastAsia="仿宋_GB2312" w:cs="TimesNewRoman"/>
          <w:kern w:val="0"/>
          <w:sz w:val="32"/>
          <w:szCs w:val="32"/>
        </w:rPr>
        <w:t>、住房保障支出（类）住房改革支出（款）</w:t>
      </w:r>
      <w:bookmarkStart w:id="18" w:name="_Hlk126616503"/>
      <w:r>
        <w:rPr>
          <w:rFonts w:hint="eastAsia" w:ascii="TimesNewRoman" w:hAnsi="TimesNewRoman" w:eastAsia="仿宋_GB2312" w:cs="TimesNewRoman"/>
          <w:kern w:val="0"/>
          <w:sz w:val="32"/>
          <w:szCs w:val="32"/>
        </w:rPr>
        <w:t>住房公积金（项）2023年预算</w:t>
      </w:r>
      <w:r>
        <w:rPr>
          <w:rFonts w:ascii="TimesNewRoman" w:hAnsi="TimesNewRoman" w:eastAsia="仿宋_GB2312" w:cs="TimesNewRoman"/>
          <w:kern w:val="0"/>
          <w:sz w:val="32"/>
          <w:szCs w:val="32"/>
        </w:rPr>
        <w:t>735.37</w:t>
      </w:r>
      <w:r>
        <w:rPr>
          <w:rFonts w:hint="eastAsia" w:ascii="TimesNewRoman" w:hAnsi="TimesNewRoman" w:eastAsia="仿宋_GB2312" w:cs="TimesNewRoman"/>
          <w:kern w:val="0"/>
          <w:sz w:val="32"/>
          <w:szCs w:val="32"/>
        </w:rPr>
        <w:t>万元</w:t>
      </w:r>
      <w:bookmarkEnd w:id="18"/>
      <w:r>
        <w:rPr>
          <w:rFonts w:hint="eastAsia" w:ascii="TimesNewRoman" w:hAnsi="TimesNewRoman" w:eastAsia="仿宋_GB2312" w:cs="TimesNewRoman"/>
          <w:kern w:val="0"/>
          <w:sz w:val="32"/>
          <w:szCs w:val="32"/>
        </w:rPr>
        <w:t>，购房补贴（项）2023年预算</w:t>
      </w:r>
      <w:r>
        <w:rPr>
          <w:rFonts w:ascii="TimesNewRoman" w:hAnsi="TimesNewRoman" w:eastAsia="仿宋_GB2312" w:cs="TimesNewRoman"/>
          <w:kern w:val="0"/>
          <w:sz w:val="32"/>
          <w:szCs w:val="32"/>
        </w:rPr>
        <w:t>306.42</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比2022年预算减少1</w:t>
      </w:r>
      <w:r>
        <w:rPr>
          <w:rFonts w:ascii="TimesNewRoman" w:hAnsi="TimesNewRoman" w:eastAsia="仿宋_GB2312" w:cs="TimesNewRoman"/>
          <w:kern w:val="0"/>
          <w:sz w:val="32"/>
          <w:szCs w:val="32"/>
        </w:rPr>
        <w:t>27.53</w:t>
      </w:r>
      <w:r>
        <w:rPr>
          <w:rFonts w:hint="eastAsia" w:ascii="TimesNewRoman" w:hAnsi="TimesNewRoman" w:eastAsia="仿宋_GB2312" w:cs="TimesNewRoman"/>
          <w:kern w:val="0"/>
          <w:sz w:val="32"/>
          <w:szCs w:val="32"/>
        </w:rPr>
        <w:t>万元，下降1</w:t>
      </w:r>
      <w:r>
        <w:rPr>
          <w:rFonts w:ascii="TimesNewRoman" w:hAnsi="TimesNewRoman" w:eastAsia="仿宋_GB2312" w:cs="TimesNewRoman"/>
          <w:kern w:val="0"/>
          <w:sz w:val="32"/>
          <w:szCs w:val="32"/>
        </w:rPr>
        <w:t>0.9</w:t>
      </w:r>
      <w:r>
        <w:rPr>
          <w:rFonts w:hint="eastAsia" w:ascii="TimesNewRoman" w:hAnsi="TimesNewRoman" w:eastAsia="仿宋_GB2312" w:cs="TimesNewRoman"/>
          <w:kern w:val="0"/>
          <w:sz w:val="32"/>
          <w:szCs w:val="32"/>
        </w:rPr>
        <w:t>%，原因主要是住房保障支出基数的变动影响的。</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六、关于2023年一般公共预算基本支出表的说明</w:t>
      </w:r>
    </w:p>
    <w:p>
      <w:pPr>
        <w:ind w:firstLine="640" w:firstLineChars="200"/>
        <w:rPr>
          <w:rFonts w:ascii="TimesNewRoman" w:hAnsi="TimesNewRoman" w:eastAsia="仿宋_GB2312" w:cs="TimesNewRoman"/>
          <w:kern w:val="0"/>
          <w:sz w:val="32"/>
          <w:szCs w:val="32"/>
        </w:rPr>
      </w:pPr>
      <w:bookmarkStart w:id="19" w:name="_Hlk126682708"/>
      <w:r>
        <w:rPr>
          <w:rFonts w:hint="eastAsia" w:ascii="TimesNewRoman" w:hAnsi="TimesNewRoman" w:eastAsia="仿宋_GB2312" w:cs="TimesNewRoman"/>
          <w:sz w:val="32"/>
          <w:szCs w:val="32"/>
        </w:rPr>
        <w:t>淮北职业技术学院</w:t>
      </w:r>
      <w:bookmarkEnd w:id="19"/>
      <w:r>
        <w:rPr>
          <w:rFonts w:hint="eastAsia" w:ascii="TimesNewRoman" w:hAnsi="TimesNewRoman" w:eastAsia="仿宋_GB2312" w:cs="TimesNewRoman"/>
          <w:kern w:val="0"/>
          <w:sz w:val="32"/>
          <w:szCs w:val="32"/>
        </w:rPr>
        <w:t>2023年一般公共预算基本支出</w:t>
      </w:r>
      <w:r>
        <w:rPr>
          <w:rFonts w:ascii="TimesNewRoman" w:hAnsi="TimesNewRoman" w:eastAsia="仿宋_GB2312" w:cs="TimesNewRoman"/>
          <w:kern w:val="0"/>
          <w:sz w:val="32"/>
          <w:szCs w:val="32"/>
        </w:rPr>
        <w:t>9764.44</w:t>
      </w:r>
      <w:r>
        <w:rPr>
          <w:rFonts w:hint="eastAsia" w:ascii="TimesNewRoman" w:hAnsi="TimesNewRoman" w:eastAsia="仿宋_GB2312" w:cs="TimesNewRoman"/>
          <w:kern w:val="0"/>
          <w:sz w:val="32"/>
          <w:szCs w:val="32"/>
        </w:rPr>
        <w:t>万元，其中，人员经费</w:t>
      </w:r>
      <w:r>
        <w:rPr>
          <w:rFonts w:ascii="TimesNewRoman" w:hAnsi="TimesNewRoman" w:eastAsia="仿宋_GB2312" w:cs="TimesNewRoman"/>
          <w:kern w:val="0"/>
          <w:sz w:val="32"/>
          <w:szCs w:val="32"/>
        </w:rPr>
        <w:t>9403.13</w:t>
      </w:r>
      <w:r>
        <w:rPr>
          <w:rFonts w:hint="eastAsia" w:ascii="TimesNewRoman" w:hAnsi="TimesNewRoman" w:eastAsia="仿宋_GB2312" w:cs="TimesNewRoman"/>
          <w:kern w:val="0"/>
          <w:sz w:val="32"/>
          <w:szCs w:val="32"/>
        </w:rPr>
        <w:t>万元，公用经费</w:t>
      </w:r>
      <w:r>
        <w:rPr>
          <w:rFonts w:ascii="TimesNewRoman" w:hAnsi="TimesNewRoman" w:eastAsia="仿宋_GB2312" w:cs="TimesNewRoman"/>
          <w:kern w:val="0"/>
          <w:sz w:val="32"/>
          <w:szCs w:val="32"/>
        </w:rPr>
        <w:t>361.31</w:t>
      </w:r>
      <w:r>
        <w:rPr>
          <w:rFonts w:hint="eastAsia" w:ascii="TimesNewRoman" w:hAnsi="TimesNewRoman" w:eastAsia="仿宋_GB2312" w:cs="TimesNewRoman"/>
          <w:kern w:val="0"/>
          <w:sz w:val="32"/>
          <w:szCs w:val="32"/>
        </w:rPr>
        <w:t>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（一）人员经费9</w:t>
      </w:r>
      <w:r>
        <w:rPr>
          <w:rFonts w:ascii="TimesNewRoman" w:hAnsi="TimesNewRoman" w:eastAsia="仿宋_GB2312" w:cs="TimesNewRoman"/>
          <w:b/>
          <w:kern w:val="0"/>
          <w:sz w:val="32"/>
          <w:szCs w:val="32"/>
        </w:rPr>
        <w:t>403.13</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奖金、绩效工资、机关事业单位基本养老保险费、职业年金缴费、职工基本医疗保险缴费、公务员医疗补助缴费、其他社会保障缴费、住房公积金支出、其他工资福利支出、办公费、工会经费、福利费、其他商品和服务支出、退休费、生活补助、医疗费补助、对其他个人和家庭的补助支出。</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ascii="TimesNewRoman" w:hAnsi="TimesNewRoman" w:eastAsia="仿宋_GB2312" w:cs="TimesNewRoman"/>
          <w:b/>
          <w:kern w:val="0"/>
          <w:sz w:val="32"/>
          <w:szCs w:val="32"/>
        </w:rPr>
        <w:t>361.31</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主要包括：公务接待费、公务用车运行维护费、其他交通费用、其他商品服务支出。</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七、关于2023年政府性基金预算支出表的说明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2023年没有政府性基金预算拨款收入，也没有使用政府性基金预算拨款安排的支出。</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八、关于2023年国有资本经营预算支出表的说明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2023年没有国有资本经营预算拨款收入，也没有使用国有资本经营预算拨款安排的支出。</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九、关于2023年项目支出表的说明</w:t>
      </w:r>
    </w:p>
    <w:p>
      <w:pPr>
        <w:widowControl/>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2023年预算共安排项目支出</w:t>
      </w:r>
      <w:r>
        <w:rPr>
          <w:rFonts w:ascii="TimesNewRoman" w:hAnsi="TimesNewRoman" w:eastAsia="仿宋_GB2312" w:cs="TimesNewRoman"/>
          <w:kern w:val="0"/>
          <w:sz w:val="32"/>
          <w:szCs w:val="32"/>
        </w:rPr>
        <w:t>12281.69</w:t>
      </w:r>
      <w:r>
        <w:rPr>
          <w:rFonts w:hint="eastAsia" w:ascii="TimesNewRoman" w:hAnsi="TimesNewRoman" w:eastAsia="仿宋_GB2312" w:cs="TimesNewRoman"/>
          <w:kern w:val="0"/>
          <w:sz w:val="32"/>
          <w:szCs w:val="32"/>
        </w:rPr>
        <w:t>万元，比2022年预算增加2</w:t>
      </w:r>
      <w:r>
        <w:rPr>
          <w:rFonts w:ascii="TimesNewRoman" w:hAnsi="TimesNewRoman" w:eastAsia="仿宋_GB2312" w:cs="TimesNewRoman"/>
          <w:kern w:val="0"/>
          <w:sz w:val="32"/>
          <w:szCs w:val="32"/>
        </w:rPr>
        <w:t>380.92</w:t>
      </w:r>
      <w:r>
        <w:rPr>
          <w:rFonts w:hint="eastAsia" w:ascii="TimesNewRoman" w:hAnsi="TimesNewRoman" w:eastAsia="仿宋_GB2312" w:cs="TimesNewRoman"/>
          <w:kern w:val="0"/>
          <w:sz w:val="32"/>
          <w:szCs w:val="32"/>
        </w:rPr>
        <w:t>万元，增长2</w:t>
      </w:r>
      <w:r>
        <w:rPr>
          <w:rFonts w:ascii="TimesNewRoman" w:hAnsi="TimesNewRoman" w:eastAsia="仿宋_GB2312" w:cs="TimesNewRoman"/>
          <w:kern w:val="0"/>
          <w:sz w:val="32"/>
          <w:szCs w:val="32"/>
        </w:rPr>
        <w:t>4.05</w:t>
      </w:r>
      <w:r>
        <w:rPr>
          <w:rFonts w:hint="eastAsia" w:ascii="TimesNewRoman" w:hAnsi="TimesNewRoman" w:eastAsia="仿宋_GB2312" w:cs="TimesNewRoman"/>
          <w:kern w:val="0"/>
          <w:sz w:val="32"/>
          <w:szCs w:val="32"/>
        </w:rPr>
        <w:t>%，原因主要是</w:t>
      </w:r>
      <w:r>
        <w:rPr>
          <w:rFonts w:hint="eastAsia" w:ascii="仿宋_GB2312" w:eastAsia="仿宋_GB2312"/>
          <w:sz w:val="32"/>
          <w:szCs w:val="32"/>
        </w:rPr>
        <w:t>国家奖助学金市级配套项目资金、中职生均拨款项目资金及高等学校思想政治理论课教师队伍建设项目安排的预算增加，因医训楼建设项目的资金投入和专项债额度增加导致“校区建设及偿还贷款本息项目”安排的预算较去年增加</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主要包括</w:t>
      </w:r>
      <w:r>
        <w:rPr>
          <w:rFonts w:hint="eastAsia" w:ascii="TimesNewRoman" w:hAnsi="TimesNewRoman" w:eastAsia="仿宋_GB2312" w:cs="TimesNewRoman"/>
          <w:kern w:val="0"/>
          <w:sz w:val="32"/>
          <w:szCs w:val="32"/>
        </w:rPr>
        <w:t>本年财政拨款安排</w:t>
      </w:r>
      <w:r>
        <w:rPr>
          <w:rFonts w:ascii="TimesNewRoman" w:hAnsi="TimesNewRoman" w:eastAsia="仿宋_GB2312" w:cs="TimesNewRoman"/>
          <w:kern w:val="0"/>
          <w:sz w:val="32"/>
          <w:szCs w:val="32"/>
        </w:rPr>
        <w:t>8359.2</w:t>
      </w:r>
      <w:r>
        <w:rPr>
          <w:rFonts w:hint="eastAsia" w:ascii="TimesNewRoman" w:hAnsi="TimesNewRoman" w:eastAsia="仿宋_GB2312" w:cs="TimesNewRoman"/>
          <w:kern w:val="0"/>
          <w:sz w:val="32"/>
          <w:szCs w:val="32"/>
        </w:rPr>
        <w:t>万元（其中，一般公共预算拨款安排</w:t>
      </w:r>
      <w:r>
        <w:rPr>
          <w:rFonts w:ascii="TimesNewRoman" w:hAnsi="TimesNewRoman" w:eastAsia="仿宋_GB2312" w:cs="TimesNewRoman"/>
          <w:kern w:val="0"/>
          <w:sz w:val="32"/>
          <w:szCs w:val="32"/>
        </w:rPr>
        <w:t>8359.2</w:t>
      </w:r>
      <w:r>
        <w:rPr>
          <w:rFonts w:hint="eastAsia" w:ascii="TimesNewRoman" w:hAnsi="TimesNewRoman" w:eastAsia="仿宋_GB2312" w:cs="TimesNewRoman"/>
          <w:kern w:val="0"/>
          <w:sz w:val="32"/>
          <w:szCs w:val="32"/>
        </w:rPr>
        <w:t>万元，政府性基金预算拨款安排</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万元），财政专户管理资金安排</w:t>
      </w:r>
      <w:r>
        <w:rPr>
          <w:rFonts w:ascii="TimesNewRoman" w:hAnsi="TimesNewRoman" w:eastAsia="仿宋_GB2312" w:cs="TimesNewRoman"/>
          <w:kern w:val="0"/>
          <w:sz w:val="32"/>
          <w:szCs w:val="32"/>
        </w:rPr>
        <w:t>3922.48</w:t>
      </w:r>
      <w:r>
        <w:rPr>
          <w:rFonts w:hint="eastAsia" w:ascii="TimesNewRoman" w:hAnsi="TimesNewRoman" w:eastAsia="仿宋_GB2312" w:cs="TimesNewRoman"/>
          <w:kern w:val="0"/>
          <w:sz w:val="32"/>
          <w:szCs w:val="32"/>
        </w:rPr>
        <w:t>万元。</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十、关于2023年政府采购支出表的说明</w:t>
      </w:r>
    </w:p>
    <w:p>
      <w:pPr>
        <w:ind w:firstLine="640" w:firstLineChars="200"/>
        <w:rPr>
          <w:rFonts w:ascii="TimesNewRoman" w:hAnsi="TimesNewRoman" w:eastAsia="仿宋_GB2312" w:cs="TimesNewRoman"/>
          <w:kern w:val="0"/>
          <w:sz w:val="32"/>
          <w:szCs w:val="32"/>
        </w:rPr>
      </w:pPr>
      <w:bookmarkStart w:id="20" w:name="_Hlk126686321"/>
      <w:r>
        <w:rPr>
          <w:rFonts w:hint="eastAsia" w:ascii="TimesNewRoman" w:hAnsi="TimesNewRoman" w:eastAsia="仿宋_GB2312" w:cs="TimesNewRoman"/>
          <w:sz w:val="32"/>
          <w:szCs w:val="32"/>
        </w:rPr>
        <w:t>淮北职业技术学院</w:t>
      </w:r>
      <w:bookmarkEnd w:id="20"/>
      <w:r>
        <w:rPr>
          <w:rFonts w:hint="eastAsia" w:ascii="TimesNewRoman" w:hAnsi="TimesNewRoman" w:eastAsia="仿宋_GB2312" w:cs="TimesNewRoman"/>
          <w:kern w:val="0"/>
          <w:sz w:val="32"/>
          <w:szCs w:val="32"/>
        </w:rPr>
        <w:t>2023年预算安排政府采购支出</w:t>
      </w:r>
      <w:r>
        <w:rPr>
          <w:rFonts w:ascii="TimesNewRoman" w:hAnsi="TimesNewRoman" w:eastAsia="仿宋_GB2312" w:cs="TimesNewRoman"/>
          <w:kern w:val="0"/>
          <w:sz w:val="32"/>
          <w:szCs w:val="32"/>
        </w:rPr>
        <w:t>586</w:t>
      </w:r>
      <w:r>
        <w:rPr>
          <w:rFonts w:hint="eastAsia" w:ascii="TimesNewRoman" w:hAnsi="TimesNewRoman" w:eastAsia="仿宋_GB2312" w:cs="TimesNewRoman"/>
          <w:kern w:val="0"/>
          <w:sz w:val="32"/>
          <w:szCs w:val="32"/>
        </w:rPr>
        <w:t>万元，比2022年预算增加2</w:t>
      </w:r>
      <w:r>
        <w:rPr>
          <w:rFonts w:ascii="TimesNewRoman" w:hAnsi="TimesNewRoman" w:eastAsia="仿宋_GB2312" w:cs="TimesNewRoman"/>
          <w:kern w:val="0"/>
          <w:sz w:val="32"/>
          <w:szCs w:val="32"/>
        </w:rPr>
        <w:t>29</w:t>
      </w:r>
      <w:r>
        <w:rPr>
          <w:rFonts w:hint="eastAsia" w:ascii="TimesNewRoman" w:hAnsi="TimesNewRoman" w:eastAsia="仿宋_GB2312" w:cs="TimesNewRoman"/>
          <w:kern w:val="0"/>
          <w:sz w:val="32"/>
          <w:szCs w:val="32"/>
        </w:rPr>
        <w:t>万元，增长6</w:t>
      </w:r>
      <w:r>
        <w:rPr>
          <w:rFonts w:ascii="TimesNewRoman" w:hAnsi="TimesNewRoman" w:eastAsia="仿宋_GB2312" w:cs="TimesNewRoman"/>
          <w:kern w:val="0"/>
          <w:sz w:val="32"/>
          <w:szCs w:val="32"/>
        </w:rPr>
        <w:t>4.14</w:t>
      </w:r>
      <w:r>
        <w:rPr>
          <w:rFonts w:hint="eastAsia" w:ascii="TimesNewRoman" w:hAnsi="TimesNewRoman" w:eastAsia="仿宋_GB2312" w:cs="TimesNewRoman"/>
          <w:kern w:val="0"/>
          <w:sz w:val="32"/>
          <w:szCs w:val="32"/>
        </w:rPr>
        <w:t>%，原因主要是根据政府采购预算的编制要求，纳入2</w:t>
      </w:r>
      <w:r>
        <w:rPr>
          <w:rFonts w:ascii="TimesNewRoman" w:hAnsi="TimesNewRoman" w:eastAsia="仿宋_GB2312" w:cs="TimesNewRoman"/>
          <w:kern w:val="0"/>
          <w:sz w:val="32"/>
          <w:szCs w:val="32"/>
        </w:rPr>
        <w:t>023</w:t>
      </w:r>
      <w:r>
        <w:rPr>
          <w:rFonts w:hint="eastAsia" w:ascii="TimesNewRoman" w:hAnsi="TimesNewRoman" w:eastAsia="仿宋_GB2312" w:cs="TimesNewRoman"/>
          <w:kern w:val="0"/>
          <w:sz w:val="32"/>
          <w:szCs w:val="32"/>
        </w:rPr>
        <w:t>年政府采购预算的有新老校区物业费、新建办公楼物业费、校区保安费用、医院托管费用、宿管服务费用等。其中，一般公共预算安排</w:t>
      </w:r>
      <w:r>
        <w:rPr>
          <w:rFonts w:ascii="TimesNewRoman" w:hAnsi="TimesNewRoman" w:eastAsia="仿宋_GB2312" w:cs="TimesNewRoman"/>
          <w:kern w:val="0"/>
          <w:sz w:val="32"/>
          <w:szCs w:val="32"/>
        </w:rPr>
        <w:t>586</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100</w:t>
      </w:r>
      <w:r>
        <w:rPr>
          <w:rFonts w:hint="eastAsia" w:ascii="TimesNewRoman" w:hAnsi="TimesNewRoman" w:eastAsia="仿宋_GB2312" w:cs="TimesNewRoman"/>
          <w:kern w:val="0"/>
          <w:sz w:val="32"/>
          <w:szCs w:val="32"/>
        </w:rPr>
        <w:t>%；政府性基金预算安排</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%；财政专户管理资金安排</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万元，占</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十一、关于2023年政府购买服务支出表的说明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2023年没有安排政府购买服务支出。</w:t>
      </w:r>
    </w:p>
    <w:p>
      <w:pPr>
        <w:pStyle w:val="3"/>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ascii="TimesNewRoman" w:hAnsi="TimesNewRoman" w:eastAsia="仿宋_GB2312" w:cs="TimesNewRoman"/>
          <w:kern w:val="0"/>
          <w:sz w:val="32"/>
          <w:szCs w:val="32"/>
        </w:rPr>
      </w:pPr>
      <w:bookmarkStart w:id="21" w:name="_Hlk126784747"/>
      <w:r>
        <w:rPr>
          <w:rFonts w:ascii="TimesNewRoman" w:hAnsi="TimesNewRoman" w:eastAsia="仿宋_GB2312" w:cs="TimesNewRoman"/>
          <w:kern w:val="0"/>
          <w:sz w:val="32"/>
          <w:szCs w:val="32"/>
        </w:rPr>
        <w:t>1</w:t>
      </w:r>
      <w:r>
        <w:rPr>
          <w:rFonts w:hint="eastAsia" w:ascii="TimesNewRoman" w:hAnsi="TimesNewRoman" w:eastAsia="仿宋_GB2312" w:cs="TimesNewRoman"/>
          <w:kern w:val="0"/>
          <w:sz w:val="32"/>
          <w:szCs w:val="32"/>
        </w:rPr>
        <w:t>、“</w:t>
      </w:r>
      <w:r>
        <w:rPr>
          <w:rFonts w:hint="eastAsia" w:ascii="仿宋_GB2312" w:eastAsia="仿宋_GB2312"/>
          <w:sz w:val="32"/>
          <w:szCs w:val="32"/>
        </w:rPr>
        <w:t>提质培优专项经费</w:t>
      </w:r>
      <w:r>
        <w:rPr>
          <w:rFonts w:hint="eastAsia" w:ascii="TimesNewRoman" w:hAnsi="TimesNewRoman" w:eastAsia="仿宋_GB2312" w:cs="TimesNewRoman"/>
          <w:kern w:val="0"/>
          <w:sz w:val="32"/>
          <w:szCs w:val="32"/>
        </w:rPr>
        <w:t>”项目。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w:t>
      </w:r>
      <w:r>
        <w:rPr>
          <w:rFonts w:hint="eastAsia" w:ascii="仿宋_GB2312" w:eastAsia="仿宋_GB2312"/>
          <w:sz w:val="32"/>
          <w:szCs w:val="32"/>
        </w:rPr>
        <w:t>为贯彻落实《国家职业教育改革实施方案》和全国职教大会精神，推动我省职业教育提质培优、增值赋能、以质图强，大幅提升新时代职业教育现代化水平和服务经济社会能力，为建设现代化美好安徽提供多层次高质量的技术技能人才支撑，使得我省职业教育与经济社会发展需求对接更加紧密、同人民群众期待更加契合、同我省综合实力和全国地位更加匹配，现代职业教育体系更加完备、制度更加健全、标准更加完善、条件更加充足、评价更加科学，围绕这一目标任务，我院科学谋划了未来五年目标任务：</w:t>
      </w:r>
      <w:bookmarkStart w:id="22" w:name="_Hlk126784691"/>
      <w:r>
        <w:rPr>
          <w:rFonts w:hint="eastAsia" w:ascii="仿宋_GB2312" w:eastAsia="仿宋_GB2312"/>
          <w:sz w:val="32"/>
          <w:szCs w:val="32"/>
        </w:rPr>
        <w:t>把学院建成“皖北领先、全省一流的地方技能型高水平大学”</w:t>
      </w:r>
      <w:bookmarkEnd w:id="22"/>
      <w:r>
        <w:rPr>
          <w:rFonts w:hint="eastAsia" w:ascii="仿宋_GB2312" w:eastAsia="仿宋_GB2312"/>
          <w:sz w:val="32"/>
          <w:szCs w:val="32"/>
        </w:rPr>
        <w:t>，</w:t>
      </w:r>
      <w:bookmarkStart w:id="23" w:name="_Hlk126784626"/>
      <w:r>
        <w:rPr>
          <w:rFonts w:hint="eastAsia" w:ascii="仿宋_GB2312" w:eastAsia="仿宋_GB2312"/>
          <w:sz w:val="32"/>
          <w:szCs w:val="32"/>
        </w:rPr>
        <w:t>为服务淮北、服务安徽、服务区域经济社会发展提供更多高素质技术技能人才。</w:t>
      </w:r>
      <w:bookmarkEnd w:id="23"/>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根据安徽省教育厅等九部门关于印发《安徽省职业教育提质培优行动计划（</w:t>
      </w:r>
      <w:r>
        <w:rPr>
          <w:rFonts w:ascii="仿宋_GB2312" w:eastAsia="仿宋_GB2312"/>
          <w:sz w:val="32"/>
          <w:szCs w:val="32"/>
        </w:rPr>
        <w:t>2021—2023</w:t>
      </w:r>
      <w:r>
        <w:rPr>
          <w:rFonts w:hint="eastAsia" w:ascii="仿宋_GB2312" w:eastAsia="仿宋_GB2312"/>
          <w:sz w:val="32"/>
          <w:szCs w:val="32"/>
        </w:rPr>
        <w:t>年）实施方案》的通知（皖教高〔</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号）</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w:t>
      </w:r>
      <w:r>
        <w:rPr>
          <w:rFonts w:hint="eastAsia" w:ascii="仿宋_GB2312" w:hAnsi="楷体" w:eastAsia="仿宋_GB2312"/>
          <w:sz w:val="32"/>
          <w:szCs w:val="32"/>
        </w:rPr>
        <w:t>淮北职业技术学院</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仿宋_GB2312" w:hAnsi="楷体" w:eastAsia="仿宋_GB2312"/>
          <w:sz w:val="32"/>
          <w:szCs w:val="32"/>
        </w:rPr>
        <w:t>202</w:t>
      </w:r>
      <w:r>
        <w:rPr>
          <w:rFonts w:ascii="仿宋_GB2312" w:hAnsi="楷体" w:eastAsia="仿宋_GB2312"/>
          <w:sz w:val="32"/>
          <w:szCs w:val="32"/>
        </w:rPr>
        <w:t>3</w:t>
      </w:r>
      <w:r>
        <w:rPr>
          <w:rFonts w:hint="eastAsia" w:ascii="仿宋_GB2312" w:hAnsi="楷体" w:eastAsia="仿宋_GB2312"/>
          <w:sz w:val="32"/>
          <w:szCs w:val="32"/>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为服务淮北、服务安徽、服务区域经济社会发展提供更多高素质技术技能人才。</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仿宋_GB2312" w:eastAsia="仿宋_GB2312"/>
          <w:sz w:val="32"/>
          <w:szCs w:val="32"/>
          <w:lang w:val="en-US" w:eastAsia="zh-CN"/>
        </w:rPr>
        <w:t>项目预算</w:t>
      </w:r>
      <w:r>
        <w:rPr>
          <w:rFonts w:hint="eastAsia" w:ascii="仿宋_GB2312" w:eastAsia="仿宋_GB2312"/>
          <w:sz w:val="32"/>
          <w:szCs w:val="32"/>
        </w:rPr>
        <w:t>2754万元</w:t>
      </w:r>
    </w:p>
    <w:p>
      <w:pPr>
        <w:ind w:firstLine="640" w:firstLineChars="200"/>
        <w:rPr>
          <w:rFonts w:ascii="仿宋_GB2312" w:eastAsia="仿宋_GB2312"/>
          <w:sz w:val="32"/>
          <w:szCs w:val="32"/>
        </w:rPr>
      </w:pPr>
      <w:r>
        <w:rPr>
          <w:rFonts w:hint="eastAsia" w:ascii="TimesNewRoman" w:hAnsi="TimesNewRoman" w:eastAsia="仿宋_GB2312" w:cs="TimesNewRoman"/>
          <w:kern w:val="0"/>
          <w:sz w:val="32"/>
          <w:szCs w:val="32"/>
        </w:rPr>
        <w:t>（7）绩效目标。</w:t>
      </w:r>
      <w:r>
        <w:rPr>
          <w:rFonts w:hint="eastAsia" w:ascii="仿宋_GB2312" w:eastAsia="仿宋_GB2312"/>
          <w:sz w:val="32"/>
          <w:szCs w:val="32"/>
        </w:rPr>
        <w:t>把学院建成“皖北领先、全省一流的地方技能型高水平大学”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hAnsi="宋体"/>
                <w:bCs/>
                <w:sz w:val="18"/>
                <w:szCs w:val="18"/>
              </w:rPr>
              <w:t>提质培优专项经费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宋体" w:cs="宋体"/>
                <w:sz w:val="20"/>
              </w:rPr>
            </w:pP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pPr>
            <w:r>
              <w:rPr>
                <w:rFonts w:hint="eastAsia"/>
                <w:color w:val="000000"/>
                <w:sz w:val="20"/>
                <w:szCs w:val="20"/>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r>
              <w:rPr>
                <w:rFonts w:hint="eastAsia"/>
                <w:color w:val="000000"/>
                <w:sz w:val="20"/>
                <w:szCs w:val="20"/>
              </w:rPr>
              <w:t>一般公共预算</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pPr>
            <w:r>
              <w:rPr>
                <w:rFonts w:hint="eastAsia"/>
              </w:rPr>
              <w:t>一年</w:t>
            </w:r>
            <w:bookmarkStart w:id="25" w:name="_GoBack"/>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宋体" w:cs="宋体"/>
                <w:sz w:val="20"/>
              </w:rPr>
            </w:pPr>
            <w:r>
              <w:rPr>
                <w:rFonts w:ascii="宋体" w:cs="宋体"/>
                <w:sz w:val="20"/>
              </w:rPr>
              <w:t>2754</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宋体" w:cs="宋体"/>
                <w:sz w:val="20"/>
              </w:rPr>
            </w:pPr>
            <w:r>
              <w:rPr>
                <w:rFonts w:ascii="宋体" w:cs="宋体"/>
                <w:sz w:val="20"/>
              </w:rPr>
              <w:t>2754</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cs="宋体" w:asciiTheme="minorEastAsia" w:hAnsiTheme="minorEastAsia"/>
                <w:sz w:val="20"/>
                <w:szCs w:val="20"/>
              </w:rPr>
            </w:pPr>
            <w:r>
              <w:rPr>
                <w:rFonts w:hint="eastAsia" w:asciiTheme="minorEastAsia" w:hAnsiTheme="minorEastAsia"/>
                <w:sz w:val="20"/>
                <w:szCs w:val="20"/>
              </w:rPr>
              <w:t>为服务淮北、服务安徽、服务区域经济社会发展提供更多高素质技术技能人才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bottom w:val="single" w:color="auto" w:sz="4" w:space="0"/>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招生人数</w:t>
            </w:r>
          </w:p>
        </w:tc>
        <w:tc>
          <w:tcPr>
            <w:tcW w:w="4228" w:type="dxa"/>
            <w:gridSpan w:val="2"/>
            <w:tcBorders>
              <w:tl2br w:val="nil"/>
              <w:tr2bl w:val="nil"/>
            </w:tcBorders>
            <w:vAlign w:val="center"/>
          </w:tcPr>
          <w:p>
            <w:pPr>
              <w:jc w:val="center"/>
              <w:rPr>
                <w:rFonts w:ascii="宋体" w:cs="宋体"/>
                <w:sz w:val="20"/>
              </w:rPr>
            </w:pPr>
            <w:r>
              <w:rPr>
                <w:rFonts w:ascii="宋体" w:cs="宋体"/>
                <w:sz w:val="20"/>
              </w:rPr>
              <w:t>4600</w:t>
            </w:r>
            <w:r>
              <w:rPr>
                <w:rFonts w:hint="eastAsia" w:ascii="宋体" w:cs="宋体"/>
                <w:sz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bottom w:val="single" w:color="auto" w:sz="4" w:space="0"/>
              <w:tl2br w:val="nil"/>
              <w:tr2bl w:val="nil"/>
            </w:tcBorders>
            <w:vAlign w:val="center"/>
          </w:tcPr>
          <w:p>
            <w:pPr>
              <w:widowControl/>
              <w:jc w:val="left"/>
              <w:textAlignment w:val="center"/>
              <w:rPr>
                <w:rFonts w:cs="宋体" w:asciiTheme="minorEastAsia" w:hAnsiTheme="minorEastAsia"/>
                <w:sz w:val="20"/>
              </w:rPr>
            </w:pPr>
            <w:r>
              <w:rPr>
                <w:rFonts w:hint="eastAsia" w:cs="汉仪中秀体简" w:asciiTheme="minorEastAsia" w:hAnsiTheme="minorEastAsia"/>
                <w:color w:val="000000"/>
                <w:kern w:val="0"/>
                <w:sz w:val="20"/>
                <w:szCs w:val="20"/>
              </w:rPr>
              <w:t>1</w:t>
            </w:r>
            <w:r>
              <w:rPr>
                <w:rFonts w:cs="汉仪中秀体简" w:asciiTheme="minorEastAsia" w:hAnsiTheme="minorEastAsia"/>
                <w:color w:val="000000"/>
                <w:kern w:val="0"/>
                <w:sz w:val="20"/>
                <w:szCs w:val="20"/>
              </w:rPr>
              <w:t>+X</w:t>
            </w:r>
            <w:r>
              <w:rPr>
                <w:rFonts w:hint="eastAsia" w:cs="汉仪中秀体简" w:asciiTheme="minorEastAsia" w:hAnsiTheme="minorEastAsia"/>
                <w:color w:val="000000"/>
                <w:kern w:val="0"/>
                <w:sz w:val="20"/>
                <w:szCs w:val="20"/>
              </w:rPr>
              <w:t>证书制度试点参与人次</w:t>
            </w:r>
          </w:p>
        </w:tc>
        <w:tc>
          <w:tcPr>
            <w:tcW w:w="4228" w:type="dxa"/>
            <w:gridSpan w:val="2"/>
            <w:tcBorders>
              <w:tl2br w:val="nil"/>
              <w:tr2bl w:val="nil"/>
            </w:tcBorders>
            <w:vAlign w:val="center"/>
          </w:tcPr>
          <w:p>
            <w:pPr>
              <w:jc w:val="center"/>
              <w:rPr>
                <w:rFonts w:ascii="宋体" w:cs="宋体"/>
                <w:sz w:val="20"/>
              </w:rPr>
            </w:pPr>
            <w:r>
              <w:rPr>
                <w:rFonts w:ascii="宋体" w:cs="宋体"/>
                <w:sz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高职平均就业率</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大于8</w:t>
            </w:r>
            <w:r>
              <w:rPr>
                <w:rFonts w:ascii="宋体" w:cs="宋体"/>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ascii="宋体" w:hAnsi="宋体" w:eastAsia="宋体" w:cs="宋体"/>
                <w:color w:val="000000"/>
                <w:kern w:val="0"/>
                <w:sz w:val="20"/>
                <w:szCs w:val="20"/>
              </w:rPr>
            </w:pPr>
          </w:p>
        </w:tc>
        <w:tc>
          <w:tcPr>
            <w:tcW w:w="2872" w:type="dxa"/>
            <w:tcBorders>
              <w:tl2br w:val="nil"/>
              <w:tr2bl w:val="nil"/>
            </w:tcBorders>
            <w:vAlign w:val="center"/>
          </w:tcPr>
          <w:p>
            <w:p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双师型教师占专业课教师比率</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大于8</w:t>
            </w:r>
            <w:r>
              <w:rPr>
                <w:rFonts w:ascii="宋体" w:cs="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项目完成时间</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资金预算</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2</w:t>
            </w:r>
            <w:r>
              <w:rPr>
                <w:rFonts w:ascii="宋体" w:cs="宋体"/>
                <w:sz w:val="20"/>
              </w:rPr>
              <w:t>754</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办学规模</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不断扩大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学院社会影响力</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周边环境</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持续向好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学院发展</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不断持续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学生就业企业满意度</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大于8</w:t>
            </w:r>
            <w:r>
              <w:rPr>
                <w:rFonts w:ascii="宋体" w:cs="宋体"/>
                <w:sz w:val="20"/>
              </w:rPr>
              <w:t>5%</w:t>
            </w:r>
          </w:p>
        </w:tc>
      </w:tr>
      <w:bookmarkEnd w:id="21"/>
    </w:tbl>
    <w:p>
      <w:pPr>
        <w:ind w:firstLine="640" w:firstLineChars="200"/>
        <w:rPr>
          <w:rFonts w:ascii="TimesNewRoman" w:hAnsi="TimesNewRoman" w:eastAsia="仿宋_GB2312" w:cs="TimesNewRoman"/>
          <w:kern w:val="0"/>
          <w:sz w:val="32"/>
          <w:szCs w:val="32"/>
        </w:rPr>
      </w:pPr>
      <w:r>
        <w:rPr>
          <w:rFonts w:ascii="TimesNewRoman" w:hAnsi="TimesNewRoman" w:eastAsia="仿宋_GB2312" w:cs="TimesNewRoman"/>
          <w:kern w:val="0"/>
          <w:sz w:val="32"/>
          <w:szCs w:val="32"/>
        </w:rPr>
        <w:t>2</w:t>
      </w:r>
      <w:r>
        <w:rPr>
          <w:rFonts w:hint="eastAsia" w:ascii="TimesNewRoman" w:hAnsi="TimesNewRoman" w:eastAsia="仿宋_GB2312" w:cs="TimesNewRoman"/>
          <w:kern w:val="0"/>
          <w:sz w:val="32"/>
          <w:szCs w:val="32"/>
        </w:rPr>
        <w:t>、“</w:t>
      </w:r>
      <w:r>
        <w:rPr>
          <w:rFonts w:hint="eastAsia" w:ascii="仿宋_GB2312" w:eastAsia="仿宋_GB2312"/>
          <w:sz w:val="32"/>
          <w:szCs w:val="32"/>
        </w:rPr>
        <w:t>中职免学费市级配套资金</w:t>
      </w:r>
      <w:r>
        <w:rPr>
          <w:rFonts w:hint="eastAsia" w:ascii="TimesNewRoman" w:hAnsi="TimesNewRoman" w:eastAsia="仿宋_GB2312" w:cs="TimesNewRoman"/>
          <w:kern w:val="0"/>
          <w:sz w:val="32"/>
          <w:szCs w:val="32"/>
        </w:rPr>
        <w:t>”项目。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w:t>
      </w:r>
      <w:bookmarkStart w:id="24" w:name="_Hlk126785842"/>
      <w:r>
        <w:rPr>
          <w:rFonts w:hint="eastAsia" w:ascii="仿宋_GB2312" w:eastAsia="仿宋_GB2312"/>
          <w:sz w:val="32"/>
          <w:szCs w:val="32"/>
        </w:rPr>
        <w:t>健全家庭经济困难学生资助体系，落实和完善各项助学政策，确保建档立卡家庭经济困难学生全部纳入资助范围。</w:t>
      </w:r>
    </w:p>
    <w:bookmarkEnd w:id="24"/>
    <w:p>
      <w:pPr>
        <w:ind w:firstLine="640" w:firstLineChars="200"/>
        <w:rPr>
          <w:rFonts w:ascii="仿宋_GB2312" w:eastAsia="仿宋_GB2312"/>
          <w:sz w:val="32"/>
          <w:szCs w:val="32"/>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根据淮北市教育局</w:t>
      </w:r>
      <w:r>
        <w:rPr>
          <w:rFonts w:ascii="仿宋_GB2312" w:eastAsia="仿宋_GB2312"/>
          <w:sz w:val="32"/>
          <w:szCs w:val="32"/>
        </w:rPr>
        <w:t xml:space="preserve"> </w:t>
      </w:r>
      <w:r>
        <w:rPr>
          <w:rFonts w:hint="eastAsia" w:ascii="仿宋_GB2312" w:eastAsia="仿宋_GB2312"/>
          <w:sz w:val="32"/>
          <w:szCs w:val="32"/>
        </w:rPr>
        <w:t>人力资源和社会保障局</w:t>
      </w:r>
      <w:r>
        <w:rPr>
          <w:rFonts w:ascii="仿宋_GB2312" w:eastAsia="仿宋_GB2312"/>
          <w:sz w:val="32"/>
          <w:szCs w:val="32"/>
        </w:rPr>
        <w:t xml:space="preserve"> </w:t>
      </w:r>
      <w:r>
        <w:rPr>
          <w:rFonts w:hint="eastAsia" w:ascii="仿宋_GB2312" w:eastAsia="仿宋_GB2312"/>
          <w:sz w:val="32"/>
          <w:szCs w:val="32"/>
        </w:rPr>
        <w:t>财政局关于印发《淮北市</w:t>
      </w:r>
      <w:r>
        <w:rPr>
          <w:rFonts w:ascii="仿宋_GB2312" w:eastAsia="仿宋_GB2312"/>
          <w:sz w:val="32"/>
          <w:szCs w:val="32"/>
        </w:rPr>
        <w:t>2021</w:t>
      </w:r>
      <w:r>
        <w:rPr>
          <w:rFonts w:hint="eastAsia" w:ascii="仿宋_GB2312" w:eastAsia="仿宋_GB2312"/>
          <w:sz w:val="32"/>
          <w:szCs w:val="32"/>
        </w:rPr>
        <w:t>年高校、中职学校和普通高中家庭经济困难学生资助实施办法》（淮教</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50</w:t>
      </w:r>
      <w:r>
        <w:rPr>
          <w:rFonts w:hint="eastAsia" w:ascii="仿宋_GB2312" w:eastAsia="仿宋_GB2312"/>
          <w:sz w:val="32"/>
          <w:szCs w:val="32"/>
        </w:rPr>
        <w:t>〕号）的通知。</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w:t>
      </w:r>
      <w:r>
        <w:rPr>
          <w:rFonts w:hint="eastAsia" w:ascii="仿宋_GB2312" w:hAnsi="楷体" w:eastAsia="仿宋_GB2312"/>
          <w:sz w:val="32"/>
          <w:szCs w:val="32"/>
        </w:rPr>
        <w:t>淮北职业技术学院</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仿宋_GB2312" w:hAnsi="楷体" w:eastAsia="仿宋_GB2312"/>
          <w:sz w:val="32"/>
          <w:szCs w:val="32"/>
        </w:rPr>
        <w:t>202</w:t>
      </w:r>
      <w:r>
        <w:rPr>
          <w:rFonts w:ascii="仿宋_GB2312" w:hAnsi="楷体" w:eastAsia="仿宋_GB2312"/>
          <w:sz w:val="32"/>
          <w:szCs w:val="32"/>
        </w:rPr>
        <w:t>3</w:t>
      </w:r>
      <w:r>
        <w:rPr>
          <w:rFonts w:hint="eastAsia" w:ascii="仿宋_GB2312" w:hAnsi="楷体" w:eastAsia="仿宋_GB2312"/>
          <w:sz w:val="32"/>
          <w:szCs w:val="32"/>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中职免学费补助是对中等职业学校全日制正式学籍一、二、三年年级在校生中所有农村（含县镇）学生、城市涉农专业学生和家庭经济困难学生免除学费（艺术类表演专业学生除外）。</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仿宋_GB2312" w:eastAsia="仿宋_GB2312"/>
          <w:sz w:val="32"/>
          <w:szCs w:val="32"/>
          <w:lang w:val="en-US" w:eastAsia="zh-CN"/>
        </w:rPr>
        <w:t>项目预算</w:t>
      </w:r>
      <w:r>
        <w:rPr>
          <w:rFonts w:hint="eastAsia" w:ascii="仿宋_GB2312" w:eastAsia="仿宋_GB2312"/>
          <w:sz w:val="32"/>
          <w:szCs w:val="32"/>
        </w:rPr>
        <w:t>2</w:t>
      </w:r>
      <w:r>
        <w:rPr>
          <w:rFonts w:ascii="仿宋_GB2312" w:eastAsia="仿宋_GB2312"/>
          <w:sz w:val="32"/>
          <w:szCs w:val="32"/>
        </w:rPr>
        <w:t>88</w:t>
      </w:r>
      <w:r>
        <w:rPr>
          <w:rFonts w:hint="eastAsia" w:ascii="仿宋_GB2312" w:eastAsia="仿宋_GB2312"/>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仿宋_GB2312" w:eastAsia="仿宋_GB2312"/>
          <w:sz w:val="32"/>
          <w:szCs w:val="32"/>
        </w:rPr>
        <w:t>健全家庭经济困难学生资助体系，落实和完善各项助学政策，确保建档立卡家庭经济困难学生全部纳入资助范围。</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hAnsi="宋体"/>
                <w:bCs/>
                <w:sz w:val="18"/>
                <w:szCs w:val="18"/>
              </w:rPr>
              <w:t>中职免学费市级配套资金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宋体" w:cs="宋体"/>
                <w:sz w:val="20"/>
              </w:rPr>
            </w:pP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pPr>
            <w:r>
              <w:rPr>
                <w:rFonts w:hint="eastAsia"/>
                <w:color w:val="000000"/>
                <w:sz w:val="20"/>
                <w:szCs w:val="20"/>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r>
              <w:rPr>
                <w:rFonts w:hint="eastAsia"/>
                <w:color w:val="000000"/>
                <w:sz w:val="20"/>
                <w:szCs w:val="20"/>
              </w:rPr>
              <w:t>一般公共预算</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pPr>
            <w:r>
              <w:rPr>
                <w:rFonts w:hint="eastAsia"/>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宋体" w:cs="宋体"/>
                <w:sz w:val="20"/>
              </w:rPr>
            </w:pPr>
            <w:r>
              <w:rPr>
                <w:rFonts w:ascii="宋体" w:cs="宋体"/>
                <w:sz w:val="20"/>
              </w:rPr>
              <w:t>288</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宋体" w:cs="宋体"/>
                <w:sz w:val="20"/>
              </w:rPr>
            </w:pPr>
            <w:r>
              <w:rPr>
                <w:rFonts w:ascii="宋体" w:cs="宋体"/>
                <w:sz w:val="20"/>
              </w:rPr>
              <w:t>288</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cs="宋体" w:asciiTheme="minorEastAsia" w:hAnsiTheme="minorEastAsia"/>
                <w:sz w:val="20"/>
                <w:szCs w:val="20"/>
              </w:rPr>
            </w:pPr>
            <w:r>
              <w:rPr>
                <w:rFonts w:hint="eastAsia" w:asciiTheme="minorEastAsia" w:hAnsiTheme="minorEastAsia"/>
                <w:sz w:val="20"/>
                <w:szCs w:val="20"/>
              </w:rPr>
              <w:t>确保建档立卡家庭经济困难学生全部纳入资助范围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bottom w:val="single" w:color="auto" w:sz="4" w:space="0"/>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受助学生人数</w:t>
            </w:r>
          </w:p>
        </w:tc>
        <w:tc>
          <w:tcPr>
            <w:tcW w:w="4228" w:type="dxa"/>
            <w:gridSpan w:val="2"/>
            <w:tcBorders>
              <w:tl2br w:val="nil"/>
              <w:tr2bl w:val="nil"/>
            </w:tcBorders>
            <w:vAlign w:val="center"/>
          </w:tcPr>
          <w:p>
            <w:pPr>
              <w:jc w:val="center"/>
              <w:rPr>
                <w:rFonts w:ascii="宋体" w:cs="宋体"/>
                <w:sz w:val="20"/>
              </w:rPr>
            </w:pPr>
            <w:r>
              <w:rPr>
                <w:rFonts w:ascii="宋体" w:cs="宋体"/>
                <w:sz w:val="20"/>
              </w:rPr>
              <w:t>16</w:t>
            </w:r>
            <w:r>
              <w:rPr>
                <w:rFonts w:hint="eastAsia" w:ascii="宋体" w:cs="宋体"/>
                <w:sz w:val="20"/>
              </w:rPr>
              <w:t>5</w:t>
            </w:r>
            <w:r>
              <w:rPr>
                <w:rFonts w:ascii="宋体" w:cs="宋体"/>
                <w:sz w:val="20"/>
              </w:rPr>
              <w:t>0</w:t>
            </w:r>
            <w:r>
              <w:rPr>
                <w:rFonts w:hint="eastAsia" w:ascii="宋体" w:cs="宋体"/>
                <w:sz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bottom w:val="single" w:color="auto" w:sz="4" w:space="0"/>
              <w:tl2br w:val="nil"/>
              <w:tr2bl w:val="nil"/>
            </w:tcBorders>
            <w:vAlign w:val="center"/>
          </w:tcPr>
          <w:p>
            <w:pPr>
              <w:widowControl/>
              <w:jc w:val="left"/>
              <w:textAlignment w:val="center"/>
              <w:rPr>
                <w:rFonts w:cs="宋体" w:asciiTheme="minorEastAsia" w:hAnsiTheme="minorEastAsia"/>
                <w:sz w:val="20"/>
              </w:rPr>
            </w:pPr>
            <w:r>
              <w:rPr>
                <w:rFonts w:hint="eastAsia" w:cs="汉仪中秀体简" w:asciiTheme="minorEastAsia" w:hAnsiTheme="minorEastAsia"/>
                <w:color w:val="000000"/>
                <w:kern w:val="0"/>
                <w:sz w:val="20"/>
                <w:szCs w:val="20"/>
              </w:rPr>
              <w:t>免学费中央资金</w:t>
            </w:r>
          </w:p>
        </w:tc>
        <w:tc>
          <w:tcPr>
            <w:tcW w:w="4228" w:type="dxa"/>
            <w:gridSpan w:val="2"/>
            <w:tcBorders>
              <w:tl2br w:val="nil"/>
              <w:tr2bl w:val="nil"/>
            </w:tcBorders>
            <w:vAlign w:val="center"/>
          </w:tcPr>
          <w:p>
            <w:pPr>
              <w:jc w:val="center"/>
              <w:rPr>
                <w:rFonts w:ascii="宋体" w:cs="宋体"/>
                <w:sz w:val="20"/>
              </w:rPr>
            </w:pPr>
            <w:r>
              <w:rPr>
                <w:rFonts w:ascii="宋体" w:cs="宋体"/>
                <w:sz w:val="20"/>
              </w:rPr>
              <w:t>198</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jc w:val="left"/>
              <w:textAlignment w:val="center"/>
              <w:rPr>
                <w:rFonts w:cs="汉仪中秀体简" w:asciiTheme="minorEastAsia" w:hAnsiTheme="minorEastAsia"/>
                <w:color w:val="000000"/>
                <w:kern w:val="0"/>
                <w:sz w:val="20"/>
                <w:szCs w:val="20"/>
              </w:rPr>
            </w:pPr>
            <w:r>
              <w:rPr>
                <w:rFonts w:hint="eastAsia" w:cs="汉仪中秀体简" w:asciiTheme="minorEastAsia" w:hAnsiTheme="minorEastAsia"/>
                <w:color w:val="000000"/>
                <w:kern w:val="0"/>
                <w:sz w:val="20"/>
                <w:szCs w:val="20"/>
              </w:rPr>
              <w:t>免学费市级配套资金</w:t>
            </w:r>
          </w:p>
        </w:tc>
        <w:tc>
          <w:tcPr>
            <w:tcW w:w="4228" w:type="dxa"/>
            <w:gridSpan w:val="2"/>
            <w:tcBorders>
              <w:tl2br w:val="nil"/>
              <w:tr2bl w:val="nil"/>
            </w:tcBorders>
            <w:vAlign w:val="center"/>
          </w:tcPr>
          <w:p>
            <w:pPr>
              <w:jc w:val="center"/>
              <w:rPr>
                <w:rFonts w:ascii="宋体" w:cs="宋体"/>
                <w:sz w:val="20"/>
              </w:rPr>
            </w:pPr>
            <w:r>
              <w:rPr>
                <w:rFonts w:ascii="宋体" w:cs="宋体"/>
                <w:sz w:val="20"/>
              </w:rPr>
              <w:t>288</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受助学生入学率</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项目完成时间</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减免金额</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4</w:t>
            </w:r>
            <w:r>
              <w:rPr>
                <w:rFonts w:ascii="宋体" w:cs="宋体"/>
                <w:sz w:val="20"/>
              </w:rPr>
              <w:t>86</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贫困学生入学情况</w:t>
            </w:r>
          </w:p>
        </w:tc>
        <w:tc>
          <w:tcPr>
            <w:tcW w:w="4228" w:type="dxa"/>
            <w:gridSpan w:val="2"/>
            <w:tcBorders>
              <w:tl2br w:val="nil"/>
              <w:tr2bl w:val="nil"/>
            </w:tcBorders>
            <w:vAlign w:val="center"/>
          </w:tcPr>
          <w:p>
            <w:pPr>
              <w:ind w:firstLine="400" w:firstLineChars="200"/>
              <w:jc w:val="center"/>
              <w:rPr>
                <w:rFonts w:ascii="宋体" w:cs="宋体"/>
                <w:sz w:val="20"/>
              </w:rPr>
            </w:pPr>
            <w:r>
              <w:rPr>
                <w:rFonts w:hint="eastAsia" w:ascii="宋体" w:cs="宋体"/>
                <w:sz w:val="20"/>
              </w:rPr>
              <w:t>保证贫困生入学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学院社会影响力</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周边环境</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持续向好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中职招生水平</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受助学生满意度</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大于8</w:t>
            </w:r>
            <w:r>
              <w:rPr>
                <w:rFonts w:ascii="宋体" w:cs="宋体"/>
                <w:sz w:val="20"/>
              </w:rPr>
              <w:t>0%</w:t>
            </w:r>
          </w:p>
        </w:tc>
      </w:tr>
    </w:tbl>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2023年机关运行经费财政拨款预算</w:t>
      </w:r>
      <w:r>
        <w:rPr>
          <w:rFonts w:ascii="TimesNewRoman" w:hAnsi="TimesNewRoman" w:eastAsia="仿宋_GB2312" w:cs="TimesNewRoman"/>
          <w:kern w:val="0"/>
          <w:sz w:val="32"/>
          <w:szCs w:val="32"/>
        </w:rPr>
        <w:t>361.31</w:t>
      </w:r>
      <w:r>
        <w:rPr>
          <w:rFonts w:hint="eastAsia" w:ascii="TimesNewRoman" w:hAnsi="TimesNewRoman" w:eastAsia="仿宋_GB2312" w:cs="TimesNewRoman"/>
          <w:kern w:val="0"/>
          <w:sz w:val="32"/>
          <w:szCs w:val="32"/>
        </w:rPr>
        <w:t>万元，比2022年预算减少3</w:t>
      </w:r>
      <w:r>
        <w:rPr>
          <w:rFonts w:ascii="TimesNewRoman" w:hAnsi="TimesNewRoman" w:eastAsia="仿宋_GB2312" w:cs="TimesNewRoman"/>
          <w:kern w:val="0"/>
          <w:sz w:val="32"/>
          <w:szCs w:val="32"/>
        </w:rPr>
        <w:t>.91</w:t>
      </w:r>
      <w:r>
        <w:rPr>
          <w:rFonts w:hint="eastAsia" w:ascii="TimesNewRoman" w:hAnsi="TimesNewRoman" w:eastAsia="仿宋_GB2312" w:cs="TimesNewRoman"/>
          <w:kern w:val="0"/>
          <w:sz w:val="32"/>
          <w:szCs w:val="32"/>
        </w:rPr>
        <w:t>万元，下降1</w:t>
      </w:r>
      <w:r>
        <w:rPr>
          <w:rFonts w:ascii="TimesNewRoman" w:hAnsi="TimesNewRoman" w:eastAsia="仿宋_GB2312" w:cs="TimesNewRoman"/>
          <w:kern w:val="0"/>
          <w:sz w:val="32"/>
          <w:szCs w:val="32"/>
        </w:rPr>
        <w:t>.07</w:t>
      </w:r>
      <w:r>
        <w:rPr>
          <w:rFonts w:hint="eastAsia" w:ascii="TimesNewRoman" w:hAnsi="TimesNewRoman" w:eastAsia="仿宋_GB2312" w:cs="TimesNewRoman"/>
          <w:kern w:val="0"/>
          <w:sz w:val="32"/>
          <w:szCs w:val="32"/>
        </w:rPr>
        <w:t>%，原因主要是</w:t>
      </w:r>
      <w:r>
        <w:rPr>
          <w:rFonts w:hint="eastAsia" w:ascii="仿宋_GB2312" w:hAnsi="仿宋" w:eastAsia="仿宋_GB2312"/>
          <w:color w:val="000000"/>
          <w:sz w:val="32"/>
          <w:szCs w:val="32"/>
        </w:rPr>
        <w:t>202</w:t>
      </w:r>
      <w:r>
        <w:rPr>
          <w:rFonts w:ascii="仿宋_GB2312" w:hAnsi="仿宋" w:eastAsia="仿宋_GB2312"/>
          <w:color w:val="000000"/>
          <w:sz w:val="32"/>
          <w:szCs w:val="32"/>
        </w:rPr>
        <w:t>3</w:t>
      </w:r>
      <w:r>
        <w:rPr>
          <w:rFonts w:hint="eastAsia" w:ascii="仿宋_GB2312" w:hAnsi="仿宋" w:eastAsia="仿宋_GB2312"/>
          <w:color w:val="000000"/>
          <w:sz w:val="32"/>
          <w:szCs w:val="32"/>
        </w:rPr>
        <w:t>年我院在编教职工人数4</w:t>
      </w:r>
      <w:r>
        <w:rPr>
          <w:rFonts w:ascii="仿宋_GB2312" w:hAnsi="仿宋" w:eastAsia="仿宋_GB2312"/>
          <w:color w:val="000000"/>
          <w:sz w:val="32"/>
          <w:szCs w:val="32"/>
        </w:rPr>
        <w:t>37</w:t>
      </w:r>
      <w:r>
        <w:rPr>
          <w:rFonts w:hint="eastAsia" w:ascii="仿宋_GB2312" w:hAnsi="仿宋" w:eastAsia="仿宋_GB2312"/>
          <w:color w:val="000000"/>
          <w:sz w:val="32"/>
          <w:szCs w:val="32"/>
        </w:rPr>
        <w:t>人，较2</w:t>
      </w:r>
      <w:r>
        <w:rPr>
          <w:rFonts w:ascii="仿宋_GB2312" w:hAnsi="仿宋" w:eastAsia="仿宋_GB2312"/>
          <w:color w:val="000000"/>
          <w:sz w:val="32"/>
          <w:szCs w:val="32"/>
        </w:rPr>
        <w:t>022</w:t>
      </w:r>
      <w:r>
        <w:rPr>
          <w:rFonts w:hint="eastAsia" w:ascii="仿宋_GB2312" w:hAnsi="仿宋" w:eastAsia="仿宋_GB2312"/>
          <w:color w:val="000000"/>
          <w:sz w:val="32"/>
          <w:szCs w:val="32"/>
        </w:rPr>
        <w:t>年减少所致</w:t>
      </w:r>
      <w:r>
        <w:rPr>
          <w:rFonts w:hint="eastAsia" w:ascii="TimesNewRoman" w:hAnsi="TimesNewRoman" w:eastAsia="仿宋_GB2312" w:cs="TimesNewRoman"/>
          <w:kern w:val="0"/>
          <w:sz w:val="32"/>
          <w:szCs w:val="32"/>
        </w:rPr>
        <w:t>。</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2023年政府采购预算</w:t>
      </w:r>
      <w:r>
        <w:rPr>
          <w:rFonts w:ascii="TimesNewRoman" w:hAnsi="TimesNewRoman" w:eastAsia="仿宋_GB2312" w:cs="TimesNewRoman"/>
          <w:kern w:val="0"/>
          <w:sz w:val="32"/>
          <w:szCs w:val="32"/>
        </w:rPr>
        <w:t>586</w:t>
      </w:r>
      <w:r>
        <w:rPr>
          <w:rFonts w:hint="eastAsia" w:ascii="TimesNewRoman" w:hAnsi="TimesNewRoman" w:eastAsia="仿宋_GB2312" w:cs="TimesNewRoman"/>
          <w:kern w:val="0"/>
          <w:sz w:val="32"/>
          <w:szCs w:val="32"/>
        </w:rPr>
        <w:t>万元。其中：政府采购货物预算</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万元，政府采购工程预算</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万元，政府采购服务预算</w:t>
      </w:r>
      <w:r>
        <w:rPr>
          <w:rFonts w:ascii="TimesNewRoman" w:hAnsi="TimesNewRoman" w:eastAsia="仿宋_GB2312" w:cs="TimesNewRoman"/>
          <w:kern w:val="0"/>
          <w:sz w:val="32"/>
          <w:szCs w:val="32"/>
        </w:rPr>
        <w:t>586</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截至2022年12月31日，</w:t>
      </w:r>
      <w:r>
        <w:rPr>
          <w:rFonts w:hint="eastAsia" w:ascii="TimesNewRoman" w:hAnsi="TimesNewRoman" w:eastAsia="仿宋_GB2312" w:cs="TimesNewRoman"/>
          <w:sz w:val="32"/>
          <w:szCs w:val="32"/>
        </w:rPr>
        <w:t>淮北职业技术学院</w:t>
      </w:r>
      <w:r>
        <w:rPr>
          <w:rFonts w:hint="eastAsia" w:ascii="TimesNewRoman" w:hAnsi="TimesNewRoman" w:eastAsia="仿宋_GB2312" w:cs="TimesNewRoman"/>
          <w:kern w:val="0"/>
          <w:sz w:val="32"/>
          <w:szCs w:val="32"/>
        </w:rPr>
        <w:t>共有车辆</w:t>
      </w:r>
      <w:r>
        <w:rPr>
          <w:rFonts w:ascii="TimesNewRoman" w:hAnsi="TimesNewRoman" w:eastAsia="仿宋_GB2312" w:cs="TimesNewRoman"/>
          <w:kern w:val="0"/>
          <w:sz w:val="32"/>
          <w:szCs w:val="32"/>
        </w:rPr>
        <w:t>8</w:t>
      </w:r>
      <w:r>
        <w:rPr>
          <w:rFonts w:hint="eastAsia" w:ascii="TimesNewRoman" w:hAnsi="TimesNewRoman" w:eastAsia="仿宋_GB2312" w:cs="TimesNewRoman"/>
          <w:kern w:val="0"/>
          <w:sz w:val="32"/>
          <w:szCs w:val="32"/>
        </w:rPr>
        <w:t>辆，其中：主要领导干部用车</w:t>
      </w:r>
      <w:r>
        <w:rPr>
          <w:rFonts w:ascii="TimesNewRoman" w:hAnsi="TimesNewRoman" w:eastAsia="仿宋_GB2312" w:cs="TimesNewRoman"/>
          <w:kern w:val="0"/>
          <w:sz w:val="32"/>
          <w:szCs w:val="32"/>
        </w:rPr>
        <w:t>4</w:t>
      </w:r>
      <w:r>
        <w:rPr>
          <w:rFonts w:hint="eastAsia" w:ascii="TimesNewRoman" w:hAnsi="TimesNewRoman" w:eastAsia="仿宋_GB2312" w:cs="TimesNewRoman"/>
          <w:kern w:val="0"/>
          <w:sz w:val="32"/>
          <w:szCs w:val="32"/>
        </w:rPr>
        <w:t>辆，其他用车4辆。单价50万元以上的通用设备</w:t>
      </w:r>
      <w:r>
        <w:rPr>
          <w:rFonts w:ascii="TimesNewRoman" w:hAnsi="TimesNewRoman" w:eastAsia="仿宋_GB2312" w:cs="TimesNewRoman"/>
          <w:kern w:val="0"/>
          <w:sz w:val="32"/>
          <w:szCs w:val="32"/>
        </w:rPr>
        <w:t>6</w:t>
      </w:r>
      <w:r>
        <w:rPr>
          <w:rFonts w:hint="eastAsia" w:ascii="TimesNewRoman" w:hAnsi="TimesNewRoman" w:eastAsia="仿宋_GB2312" w:cs="TimesNewRoman"/>
          <w:kern w:val="0"/>
          <w:sz w:val="32"/>
          <w:szCs w:val="32"/>
        </w:rPr>
        <w:t>台（套），单价100万元以上的专用设备</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台（套）。</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2023年部门（单位）预算安排购置公务用车</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辆，购置费</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万元；安排购置单价50万元以上的通用设备</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台（套），购置费</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万元；安排购置单价100万元以上专用设备</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台（套），购置费</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w:t>
      </w:r>
      <w:r>
        <w:rPr>
          <w:rFonts w:hint="eastAsia" w:ascii="TimesNewRoman" w:hAnsi="TimesNewRoman" w:eastAsia="仿宋_GB2312" w:cs="TimesNewRoman"/>
          <w:sz w:val="32"/>
          <w:szCs w:val="32"/>
        </w:rPr>
        <w:t>淮北职业技术学院</w:t>
      </w:r>
      <w:r>
        <w:rPr>
          <w:rFonts w:ascii="TimesNewRoman" w:hAnsi="TimesNewRoman" w:eastAsia="仿宋_GB2312" w:cs="TimesNewRoman"/>
          <w:kern w:val="0"/>
          <w:sz w:val="32"/>
          <w:szCs w:val="32"/>
        </w:rPr>
        <w:t>5</w:t>
      </w:r>
      <w:r>
        <w:rPr>
          <w:rFonts w:hint="eastAsia" w:ascii="TimesNewRoman" w:hAnsi="TimesNewRoman" w:eastAsia="仿宋_GB2312" w:cs="TimesNewRoman"/>
          <w:kern w:val="0"/>
          <w:sz w:val="32"/>
          <w:szCs w:val="32"/>
        </w:rPr>
        <w:t>个项目实行了绩效目标管理，涉及一般公共预算当年财政拨款</w:t>
      </w:r>
      <w:r>
        <w:rPr>
          <w:rFonts w:ascii="TimesNewRoman" w:hAnsi="TimesNewRoman" w:eastAsia="仿宋_GB2312" w:cs="TimesNewRoman"/>
          <w:kern w:val="0"/>
          <w:sz w:val="32"/>
          <w:szCs w:val="32"/>
        </w:rPr>
        <w:t>7668.47</w:t>
      </w:r>
      <w:r>
        <w:rPr>
          <w:rFonts w:hint="eastAsia" w:ascii="TimesNewRoman" w:hAnsi="TimesNewRoman" w:eastAsia="仿宋_GB2312" w:cs="TimesNewRoman"/>
          <w:kern w:val="0"/>
          <w:sz w:val="32"/>
          <w:szCs w:val="32"/>
        </w:rPr>
        <w:t>万元、政府性基金预算当年财政拨款</w:t>
      </w:r>
      <w:r>
        <w:rPr>
          <w:rFonts w:ascii="TimesNewRoman" w:hAnsi="TimesNewRoman" w:eastAsia="仿宋_GB2312" w:cs="TimesNewRoman"/>
          <w:kern w:val="0"/>
          <w:sz w:val="32"/>
          <w:szCs w:val="32"/>
        </w:rPr>
        <w:t>0</w:t>
      </w:r>
      <w:r>
        <w:rPr>
          <w:rFonts w:hint="eastAsia" w:ascii="TimesNewRoman" w:hAnsi="TimesNewRoman" w:eastAsia="仿宋_GB2312" w:cs="TimesNewRoman"/>
          <w:kern w:val="0"/>
          <w:sz w:val="32"/>
          <w:szCs w:val="32"/>
        </w:rPr>
        <w:t>万元、财政专户管理资金当年安排</w:t>
      </w:r>
      <w:r>
        <w:rPr>
          <w:rFonts w:ascii="TimesNewRoman" w:hAnsi="TimesNewRoman" w:eastAsia="仿宋_GB2312" w:cs="TimesNewRoman"/>
          <w:kern w:val="0"/>
          <w:sz w:val="32"/>
          <w:szCs w:val="32"/>
        </w:rPr>
        <w:t>3922.48</w:t>
      </w:r>
      <w:r>
        <w:rPr>
          <w:rFonts w:hint="eastAsia" w:ascii="TimesNewRoman" w:hAnsi="TimesNewRoman" w:eastAsia="仿宋_GB2312" w:cs="TimesNewRoman"/>
          <w:kern w:val="0"/>
          <w:sz w:val="32"/>
          <w:szCs w:val="32"/>
        </w:rPr>
        <w:t>万元。</w:t>
      </w:r>
    </w:p>
    <w:p/>
    <w:p>
      <w:pPr>
        <w:pStyle w:val="3"/>
        <w:adjustRightInd w:val="0"/>
        <w:snapToGrid w:val="0"/>
        <w:spacing w:line="560" w:lineRule="exact"/>
        <w:jc w:val="center"/>
        <w:rPr>
          <w:rFonts w:ascii="TimesNewRoman" w:hAnsi="TimesNewRoman" w:eastAsia="黑体" w:cs="TimesNewRoman"/>
          <w:bCs/>
          <w:sz w:val="36"/>
          <w:szCs w:val="36"/>
        </w:rPr>
      </w:pPr>
    </w:p>
    <w:p>
      <w:pPr>
        <w:pStyle w:val="3"/>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3"/>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
    <w:altName w:val="Times New Roman"/>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中秀体简">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xZWY3ZWNiMTU0NWMyMjE4NWEwMjZjNmZmYWI3ZTYifQ=="/>
  </w:docVars>
  <w:rsids>
    <w:rsidRoot w:val="00E907C4"/>
    <w:rsid w:val="0006013C"/>
    <w:rsid w:val="000E036A"/>
    <w:rsid w:val="000E4CDD"/>
    <w:rsid w:val="00113ECC"/>
    <w:rsid w:val="00136CAE"/>
    <w:rsid w:val="0015031E"/>
    <w:rsid w:val="0017347B"/>
    <w:rsid w:val="00176B87"/>
    <w:rsid w:val="00181BD4"/>
    <w:rsid w:val="00187445"/>
    <w:rsid w:val="001913D8"/>
    <w:rsid w:val="001A25A3"/>
    <w:rsid w:val="001A60C7"/>
    <w:rsid w:val="001B5F5D"/>
    <w:rsid w:val="001E02F2"/>
    <w:rsid w:val="0021413A"/>
    <w:rsid w:val="0021498A"/>
    <w:rsid w:val="00233462"/>
    <w:rsid w:val="0026390C"/>
    <w:rsid w:val="00282CB3"/>
    <w:rsid w:val="002D3438"/>
    <w:rsid w:val="002E384E"/>
    <w:rsid w:val="00326CEC"/>
    <w:rsid w:val="003662A6"/>
    <w:rsid w:val="0038216F"/>
    <w:rsid w:val="003B5E99"/>
    <w:rsid w:val="004227D3"/>
    <w:rsid w:val="00426E58"/>
    <w:rsid w:val="004410D6"/>
    <w:rsid w:val="00494875"/>
    <w:rsid w:val="00496517"/>
    <w:rsid w:val="004F394F"/>
    <w:rsid w:val="00544F53"/>
    <w:rsid w:val="005505CC"/>
    <w:rsid w:val="0057562B"/>
    <w:rsid w:val="0058080A"/>
    <w:rsid w:val="00585051"/>
    <w:rsid w:val="00587150"/>
    <w:rsid w:val="005E5B22"/>
    <w:rsid w:val="0062519E"/>
    <w:rsid w:val="00642865"/>
    <w:rsid w:val="00646AEF"/>
    <w:rsid w:val="006546AF"/>
    <w:rsid w:val="00655D62"/>
    <w:rsid w:val="006829CC"/>
    <w:rsid w:val="006A452E"/>
    <w:rsid w:val="0076557B"/>
    <w:rsid w:val="00782A00"/>
    <w:rsid w:val="00782F39"/>
    <w:rsid w:val="007B6A82"/>
    <w:rsid w:val="0080308A"/>
    <w:rsid w:val="00814C71"/>
    <w:rsid w:val="0085186D"/>
    <w:rsid w:val="00862406"/>
    <w:rsid w:val="008A133A"/>
    <w:rsid w:val="008B36BE"/>
    <w:rsid w:val="008F6D1A"/>
    <w:rsid w:val="00902204"/>
    <w:rsid w:val="00970F15"/>
    <w:rsid w:val="009A3CA3"/>
    <w:rsid w:val="009C2EB2"/>
    <w:rsid w:val="009D184F"/>
    <w:rsid w:val="009D2159"/>
    <w:rsid w:val="009E5CF5"/>
    <w:rsid w:val="009E6FE5"/>
    <w:rsid w:val="009E72FF"/>
    <w:rsid w:val="009F5034"/>
    <w:rsid w:val="00A00091"/>
    <w:rsid w:val="00A00F70"/>
    <w:rsid w:val="00A149A8"/>
    <w:rsid w:val="00A51273"/>
    <w:rsid w:val="00AA328A"/>
    <w:rsid w:val="00AC4E15"/>
    <w:rsid w:val="00AD2590"/>
    <w:rsid w:val="00AD541C"/>
    <w:rsid w:val="00AD59AC"/>
    <w:rsid w:val="00AE3242"/>
    <w:rsid w:val="00AE5B0E"/>
    <w:rsid w:val="00AE708F"/>
    <w:rsid w:val="00AE7433"/>
    <w:rsid w:val="00B120B5"/>
    <w:rsid w:val="00B2452F"/>
    <w:rsid w:val="00B35366"/>
    <w:rsid w:val="00B40CCB"/>
    <w:rsid w:val="00B97B0E"/>
    <w:rsid w:val="00BD1A9B"/>
    <w:rsid w:val="00BD38AF"/>
    <w:rsid w:val="00C07205"/>
    <w:rsid w:val="00C1127D"/>
    <w:rsid w:val="00C25C3E"/>
    <w:rsid w:val="00C27D65"/>
    <w:rsid w:val="00C401CE"/>
    <w:rsid w:val="00C40D6A"/>
    <w:rsid w:val="00C80608"/>
    <w:rsid w:val="00C86D0F"/>
    <w:rsid w:val="00CB5630"/>
    <w:rsid w:val="00CD0A80"/>
    <w:rsid w:val="00CD36FF"/>
    <w:rsid w:val="00CE3483"/>
    <w:rsid w:val="00D05D2A"/>
    <w:rsid w:val="00D11DE0"/>
    <w:rsid w:val="00D172F7"/>
    <w:rsid w:val="00D36A51"/>
    <w:rsid w:val="00D81836"/>
    <w:rsid w:val="00D84413"/>
    <w:rsid w:val="00DA0DB4"/>
    <w:rsid w:val="00DA483E"/>
    <w:rsid w:val="00E376FF"/>
    <w:rsid w:val="00E6216E"/>
    <w:rsid w:val="00E641C0"/>
    <w:rsid w:val="00E77079"/>
    <w:rsid w:val="00E907C4"/>
    <w:rsid w:val="00EA692F"/>
    <w:rsid w:val="00EB683C"/>
    <w:rsid w:val="00EC7755"/>
    <w:rsid w:val="00F0624C"/>
    <w:rsid w:val="00F13DE3"/>
    <w:rsid w:val="00F56CB9"/>
    <w:rsid w:val="00FA6CFA"/>
    <w:rsid w:val="00FC3111"/>
    <w:rsid w:val="00FE7B12"/>
    <w:rsid w:val="035F54A3"/>
    <w:rsid w:val="0C2B5CF7"/>
    <w:rsid w:val="19803A45"/>
    <w:rsid w:val="405D1B38"/>
    <w:rsid w:val="4CC761A6"/>
    <w:rsid w:val="59BC78C3"/>
    <w:rsid w:val="5BA06C96"/>
    <w:rsid w:val="6CE13BDF"/>
    <w:rsid w:val="77C4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header"/>
    <w:basedOn w:val="1"/>
    <w:link w:val="6"/>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字符1"/>
    <w:link w:val="2"/>
    <w:uiPriority w:val="0"/>
    <w:rPr>
      <w:sz w:val="18"/>
      <w:szCs w:val="18"/>
    </w:rPr>
  </w:style>
  <w:style w:type="character" w:customStyle="1" w:styleId="7">
    <w:name w:val="页眉 字符"/>
    <w:basedOn w:val="5"/>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5575</Words>
  <Characters>6346</Characters>
  <Lines>48</Lines>
  <Paragraphs>13</Paragraphs>
  <TotalTime>466</TotalTime>
  <ScaleCrop>false</ScaleCrop>
  <LinksUpToDate>false</LinksUpToDate>
  <CharactersWithSpaces>6517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范红</cp:lastModifiedBy>
  <dcterms:modified xsi:type="dcterms:W3CDTF">2023-02-14T03:25:40Z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E81C4F3757484F87B99C0589B78F8886</vt:lpwstr>
  </property>
</Properties>
</file>